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169F" w14:textId="77777777" w:rsidR="000F3F61" w:rsidRDefault="000F3F61" w:rsidP="003F078F">
      <w:pPr>
        <w:pStyle w:val="KeinLeerraum"/>
        <w:jc w:val="center"/>
        <w:rPr>
          <w:b/>
          <w:bCs/>
          <w:sz w:val="32"/>
          <w:szCs w:val="32"/>
        </w:rPr>
      </w:pPr>
    </w:p>
    <w:p w14:paraId="35FD770F" w14:textId="1E994761" w:rsidR="006C2E88" w:rsidRDefault="00A9030E" w:rsidP="003F078F">
      <w:pPr>
        <w:pStyle w:val="KeinLeerraum"/>
        <w:jc w:val="center"/>
        <w:rPr>
          <w:b/>
          <w:bCs/>
          <w:sz w:val="32"/>
          <w:szCs w:val="32"/>
        </w:rPr>
      </w:pPr>
      <w:r w:rsidRPr="003F078F">
        <w:rPr>
          <w:b/>
          <w:bCs/>
          <w:sz w:val="32"/>
          <w:szCs w:val="32"/>
        </w:rPr>
        <w:t xml:space="preserve">Raum-Kontingentierung </w:t>
      </w:r>
      <w:r w:rsidR="00672F5C" w:rsidRPr="003F078F">
        <w:rPr>
          <w:b/>
          <w:bCs/>
          <w:sz w:val="32"/>
          <w:szCs w:val="32"/>
        </w:rPr>
        <w:t xml:space="preserve">an Studienfreitagen im </w:t>
      </w:r>
      <w:r w:rsidRPr="003F078F">
        <w:rPr>
          <w:b/>
          <w:bCs/>
          <w:sz w:val="32"/>
          <w:szCs w:val="32"/>
        </w:rPr>
        <w:t xml:space="preserve">ZfsL MS </w:t>
      </w:r>
      <w:r w:rsidR="00672F5C" w:rsidRPr="003F078F">
        <w:rPr>
          <w:b/>
          <w:bCs/>
          <w:sz w:val="32"/>
          <w:szCs w:val="32"/>
        </w:rPr>
        <w:t xml:space="preserve">- </w:t>
      </w:r>
      <w:r w:rsidRPr="003F078F">
        <w:rPr>
          <w:b/>
          <w:bCs/>
          <w:sz w:val="32"/>
          <w:szCs w:val="32"/>
        </w:rPr>
        <w:t xml:space="preserve">Praxissemester </w:t>
      </w:r>
      <w:r w:rsidR="005731A8" w:rsidRPr="003F078F">
        <w:rPr>
          <w:b/>
          <w:bCs/>
          <w:sz w:val="32"/>
          <w:szCs w:val="32"/>
        </w:rPr>
        <w:t xml:space="preserve">für </w:t>
      </w:r>
      <w:r w:rsidR="007301CC" w:rsidRPr="003F078F">
        <w:rPr>
          <w:b/>
          <w:bCs/>
          <w:sz w:val="32"/>
          <w:szCs w:val="32"/>
        </w:rPr>
        <w:t xml:space="preserve">alle </w:t>
      </w:r>
      <w:r w:rsidR="005731A8" w:rsidRPr="003F078F">
        <w:rPr>
          <w:b/>
          <w:bCs/>
          <w:sz w:val="32"/>
          <w:szCs w:val="32"/>
        </w:rPr>
        <w:t>Lehrämter</w:t>
      </w:r>
    </w:p>
    <w:p w14:paraId="4E560BE7" w14:textId="77777777" w:rsidR="003F078F" w:rsidRPr="003F078F" w:rsidRDefault="003F078F" w:rsidP="003F078F">
      <w:pPr>
        <w:pStyle w:val="KeinLeerraum"/>
        <w:jc w:val="center"/>
        <w:rPr>
          <w:b/>
          <w:bCs/>
          <w:sz w:val="20"/>
          <w:szCs w:val="20"/>
        </w:rPr>
      </w:pPr>
    </w:p>
    <w:p w14:paraId="57CD5171" w14:textId="77777777" w:rsidR="00E33AA3" w:rsidRPr="005731A8" w:rsidRDefault="00E33AA3" w:rsidP="00E33AA3">
      <w:pPr>
        <w:framePr w:hSpace="141" w:wrap="around" w:vAnchor="page" w:hAnchor="margin" w:y="2622"/>
        <w:rPr>
          <w:b/>
          <w:sz w:val="24"/>
          <w:szCs w:val="24"/>
        </w:rPr>
      </w:pPr>
    </w:p>
    <w:p w14:paraId="5408A521" w14:textId="1E6D4A77" w:rsidR="00B97E75" w:rsidRPr="00FD2FAA" w:rsidRDefault="00242E13" w:rsidP="00B97E75">
      <w:pPr>
        <w:pStyle w:val="Listenabsatz"/>
        <w:numPr>
          <w:ilvl w:val="0"/>
          <w:numId w:val="15"/>
        </w:numPr>
        <w:rPr>
          <w:b/>
          <w:color w:val="4F81BD" w:themeColor="accent1"/>
          <w:sz w:val="24"/>
          <w:szCs w:val="24"/>
          <w:u w:val="single"/>
        </w:rPr>
      </w:pPr>
      <w:r w:rsidRPr="00FD2FAA">
        <w:rPr>
          <w:b/>
          <w:color w:val="4F81BD" w:themeColor="accent1"/>
          <w:sz w:val="24"/>
          <w:szCs w:val="24"/>
          <w:u w:val="single"/>
        </w:rPr>
        <w:t>Gütekriterien einer gelungenen Raumverteilung</w:t>
      </w:r>
    </w:p>
    <w:p w14:paraId="6AB3C96A" w14:textId="77777777" w:rsidR="00242E13" w:rsidRPr="00FD2FAA" w:rsidRDefault="00242E13" w:rsidP="00672F5C">
      <w:pPr>
        <w:pStyle w:val="Listenabsatz"/>
        <w:numPr>
          <w:ilvl w:val="0"/>
          <w:numId w:val="14"/>
        </w:numPr>
        <w:rPr>
          <w:sz w:val="16"/>
          <w:szCs w:val="16"/>
        </w:rPr>
      </w:pPr>
      <w:r w:rsidRPr="00FD2FAA">
        <w:rPr>
          <w:sz w:val="16"/>
          <w:szCs w:val="16"/>
        </w:rPr>
        <w:t>Proportionalität zwischen Gesamt-Anzahl der Räume und Anzahl der BVs der einzelnen Lehrämter</w:t>
      </w:r>
      <w:r w:rsidR="00B97E75" w:rsidRPr="00FD2FAA">
        <w:rPr>
          <w:sz w:val="16"/>
          <w:szCs w:val="16"/>
        </w:rPr>
        <w:t xml:space="preserve"> (Verteilung nach realen Bedarfen)</w:t>
      </w:r>
      <w:r w:rsidR="006C2E88" w:rsidRPr="00FD2FAA">
        <w:rPr>
          <w:sz w:val="16"/>
          <w:szCs w:val="16"/>
        </w:rPr>
        <w:t>,</w:t>
      </w:r>
    </w:p>
    <w:p w14:paraId="0E42CCF7" w14:textId="77777777" w:rsidR="00B97E75" w:rsidRPr="00FD2FAA" w:rsidRDefault="00242E13" w:rsidP="00242E13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Stimmige Anpassung der BV-Teilnehmergrößen an die Raumgrößen</w:t>
      </w:r>
      <w:r w:rsidR="006C2E88" w:rsidRPr="00FD2FAA">
        <w:rPr>
          <w:sz w:val="16"/>
          <w:szCs w:val="16"/>
        </w:rPr>
        <w:t>,</w:t>
      </w:r>
    </w:p>
    <w:p w14:paraId="33BDD0F6" w14:textId="77777777" w:rsidR="00B97E75" w:rsidRPr="00FD2FAA" w:rsidRDefault="00242E13" w:rsidP="00242E13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Transparenz der Raum-Bedarfe für alle Lehrämter</w:t>
      </w:r>
      <w:r w:rsidR="006C2E88" w:rsidRPr="00FD2FAA">
        <w:rPr>
          <w:sz w:val="16"/>
          <w:szCs w:val="16"/>
        </w:rPr>
        <w:t>,</w:t>
      </w:r>
    </w:p>
    <w:p w14:paraId="14062DCF" w14:textId="77777777" w:rsidR="00B97E75" w:rsidRPr="00FD2FAA" w:rsidRDefault="00B97E75" w:rsidP="00B97E75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Kontinuität</w:t>
      </w:r>
      <w:r w:rsidR="00242E13" w:rsidRPr="00FD2FAA">
        <w:rPr>
          <w:sz w:val="16"/>
          <w:szCs w:val="16"/>
        </w:rPr>
        <w:t xml:space="preserve"> der Regelung</w:t>
      </w:r>
      <w:r w:rsidRPr="00FD2FAA">
        <w:rPr>
          <w:sz w:val="16"/>
          <w:szCs w:val="16"/>
        </w:rPr>
        <w:t xml:space="preserve"> (= generalisierte Lösung)</w:t>
      </w:r>
      <w:r w:rsidR="006C2E88" w:rsidRPr="00FD2FAA">
        <w:rPr>
          <w:sz w:val="16"/>
          <w:szCs w:val="16"/>
        </w:rPr>
        <w:t>,</w:t>
      </w:r>
      <w:r w:rsidR="00242E13" w:rsidRPr="00FD2FAA">
        <w:rPr>
          <w:sz w:val="16"/>
          <w:szCs w:val="16"/>
        </w:rPr>
        <w:t xml:space="preserve"> </w:t>
      </w:r>
    </w:p>
    <w:p w14:paraId="5EB739C4" w14:textId="71023993" w:rsidR="00C8697A" w:rsidRPr="00FD2FAA" w:rsidRDefault="00242E13" w:rsidP="00AE59C8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Teilautonomie der Lehrämter (</w:t>
      </w:r>
      <w:r w:rsidR="00B97E75" w:rsidRPr="00FD2FAA">
        <w:rPr>
          <w:sz w:val="16"/>
          <w:szCs w:val="16"/>
        </w:rPr>
        <w:t xml:space="preserve">nur </w:t>
      </w:r>
      <w:r w:rsidRPr="00FD2FAA">
        <w:rPr>
          <w:sz w:val="16"/>
          <w:szCs w:val="16"/>
        </w:rPr>
        <w:t>so viele Absprachen lehramtsübergreifend wie nötig, lehramtsintern so eigenständig wie möglich)</w:t>
      </w:r>
    </w:p>
    <w:p w14:paraId="7D67B88E" w14:textId="77777777" w:rsidR="003A02D7" w:rsidRPr="007B002A" w:rsidRDefault="003A02D7" w:rsidP="003A02D7">
      <w:pPr>
        <w:pStyle w:val="Listenabsatz"/>
        <w:rPr>
          <w:sz w:val="10"/>
          <w:szCs w:val="10"/>
        </w:rPr>
      </w:pPr>
    </w:p>
    <w:p w14:paraId="5E539B6C" w14:textId="4CDCFDC5" w:rsidR="003A02D7" w:rsidRPr="00FD2FAA" w:rsidRDefault="00EB1AB9" w:rsidP="003A02D7">
      <w:pPr>
        <w:pStyle w:val="Default"/>
        <w:numPr>
          <w:ilvl w:val="0"/>
          <w:numId w:val="15"/>
        </w:numPr>
        <w:rPr>
          <w:rFonts w:asciiTheme="minorHAnsi" w:hAnsiTheme="minorHAnsi" w:cstheme="minorBidi"/>
          <w:b/>
          <w:color w:val="4F81BD" w:themeColor="accent1"/>
          <w:u w:val="single"/>
        </w:rPr>
      </w:pPr>
      <w:r w:rsidRPr="00FD2FAA">
        <w:rPr>
          <w:rFonts w:asciiTheme="minorHAnsi" w:hAnsiTheme="minorHAnsi" w:cstheme="minorBidi"/>
          <w:b/>
          <w:color w:val="4F81BD" w:themeColor="accent1"/>
          <w:u w:val="single"/>
        </w:rPr>
        <w:t>Zeitschienenplan</w:t>
      </w:r>
      <w:r w:rsidR="00C12EFB" w:rsidRPr="00FD2FAA">
        <w:rPr>
          <w:rFonts w:asciiTheme="minorHAnsi" w:hAnsiTheme="minorHAnsi" w:cstheme="minorBidi"/>
          <w:b/>
          <w:color w:val="4F81BD" w:themeColor="accent1"/>
          <w:u w:val="single"/>
        </w:rPr>
        <w:t xml:space="preserve">/Raumkontingentierung </w:t>
      </w:r>
      <w:r w:rsidRPr="00FD2FAA">
        <w:rPr>
          <w:rFonts w:asciiTheme="minorHAnsi" w:hAnsiTheme="minorHAnsi" w:cstheme="minorBidi"/>
          <w:b/>
          <w:color w:val="4F81BD" w:themeColor="accent1"/>
          <w:u w:val="single"/>
        </w:rPr>
        <w:t>für die BVs</w:t>
      </w:r>
    </w:p>
    <w:p w14:paraId="7B370BBD" w14:textId="7AD1D1F9" w:rsidR="00EB1AB9" w:rsidRPr="003F078F" w:rsidRDefault="00EB1AB9" w:rsidP="000F3F61">
      <w:pPr>
        <w:pStyle w:val="Default"/>
        <w:ind w:left="360"/>
        <w:jc w:val="center"/>
        <w:rPr>
          <w:rFonts w:asciiTheme="minorHAnsi" w:hAnsiTheme="minorHAnsi" w:cstheme="minorBidi"/>
          <w:b/>
          <w:color w:val="4F81BD" w:themeColor="accent1"/>
          <w:sz w:val="10"/>
          <w:szCs w:val="10"/>
          <w:u w:val="single"/>
        </w:rPr>
      </w:pPr>
    </w:p>
    <w:p w14:paraId="0305D640" w14:textId="39D2A02B" w:rsidR="00C8697A" w:rsidRPr="007B002A" w:rsidRDefault="00C8697A" w:rsidP="000F3F61">
      <w:pPr>
        <w:pStyle w:val="Default"/>
        <w:ind w:left="1134"/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</w:pP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Die Räume 409</w:t>
      </w:r>
      <w:r w:rsidR="00FD2FA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und</w:t>
      </w: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503 </w:t>
      </w:r>
      <w:r w:rsidR="007B002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sind </w:t>
      </w:r>
      <w:r w:rsidR="00AE59C8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von der Kontingentierung ausgenommen</w:t>
      </w:r>
      <w:r w:rsidR="007B002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und somit </w:t>
      </w: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freibleibend.</w:t>
      </w:r>
      <w:r w:rsidR="00FD2FA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Weitere Räume, die hier nicht aufgeführt sind, nutzt das Lehramt SF für den VD</w:t>
      </w:r>
      <w:r w:rsidR="00FD2FA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.</w:t>
      </w:r>
    </w:p>
    <w:p w14:paraId="323D56D3" w14:textId="77777777" w:rsidR="00EB1AB9" w:rsidRPr="00AF2B0F" w:rsidRDefault="00EB1AB9" w:rsidP="00EB1AB9">
      <w:pPr>
        <w:pStyle w:val="Default"/>
        <w:rPr>
          <w:rFonts w:asciiTheme="minorHAnsi" w:hAnsiTheme="minorHAnsi" w:cstheme="minorBidi"/>
          <w:b/>
          <w:color w:val="4F81BD" w:themeColor="accent1"/>
          <w:sz w:val="16"/>
          <w:szCs w:val="16"/>
          <w:u w:val="single"/>
        </w:rPr>
      </w:pPr>
    </w:p>
    <w:tbl>
      <w:tblPr>
        <w:tblStyle w:val="Tabellenraster"/>
        <w:tblW w:w="150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1559"/>
        <w:gridCol w:w="1701"/>
        <w:gridCol w:w="1701"/>
        <w:gridCol w:w="1701"/>
        <w:gridCol w:w="1701"/>
        <w:gridCol w:w="1276"/>
        <w:gridCol w:w="1134"/>
      </w:tblGrid>
      <w:tr w:rsidR="00234A57" w14:paraId="6A97A347" w14:textId="7B89728D" w:rsidTr="00234A57">
        <w:tc>
          <w:tcPr>
            <w:tcW w:w="1843" w:type="dxa"/>
          </w:tcPr>
          <w:p w14:paraId="384A134A" w14:textId="77777777" w:rsidR="00234A57" w:rsidRDefault="00234A57" w:rsidP="000F3F61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533BA0F1" w14:textId="77777777" w:rsidR="00234A57" w:rsidRDefault="00234A57" w:rsidP="000F3F61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BV-</w:t>
            </w:r>
          </w:p>
          <w:p w14:paraId="7638B703" w14:textId="0DFA37CE" w:rsidR="00234A57" w:rsidRPr="00F122B9" w:rsidRDefault="00234A57" w:rsidP="000F3F61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Zeitfenster</w:t>
            </w:r>
          </w:p>
        </w:tc>
        <w:tc>
          <w:tcPr>
            <w:tcW w:w="2410" w:type="dxa"/>
            <w:gridSpan w:val="2"/>
          </w:tcPr>
          <w:p w14:paraId="2D34F61F" w14:textId="76311369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BK</w:t>
            </w:r>
          </w:p>
          <w:p w14:paraId="34686E4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</w:p>
          <w:p w14:paraId="014EAB54" w14:textId="1E3362F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</w:t>
            </w:r>
          </w:p>
          <w:p w14:paraId="588B67BF" w14:textId="593B93B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alle</w:t>
            </w:r>
          </w:p>
          <w:p w14:paraId="5DEAFBFC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5A5C1A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 xml:space="preserve">Raumnummer </w:t>
            </w:r>
          </w:p>
          <w:p w14:paraId="2905C11D" w14:textId="153D8F0E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(Sitzplätze)</w:t>
            </w:r>
          </w:p>
        </w:tc>
        <w:tc>
          <w:tcPr>
            <w:tcW w:w="1559" w:type="dxa"/>
          </w:tcPr>
          <w:p w14:paraId="053729C1" w14:textId="57D4B9CC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00E">
              <w:rPr>
                <w:b/>
                <w:sz w:val="28"/>
                <w:szCs w:val="28"/>
              </w:rPr>
              <w:t>HRSGe</w:t>
            </w:r>
            <w:proofErr w:type="spellEnd"/>
          </w:p>
          <w:p w14:paraId="16E8A5E6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1DAB4D5C" w14:textId="0AE5B56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1 und 3</w:t>
            </w:r>
          </w:p>
          <w:p w14:paraId="296D5CFB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CCE4D6D" w14:textId="249BAAD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79B01E8B" w14:textId="77777777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00E">
              <w:rPr>
                <w:b/>
                <w:sz w:val="28"/>
                <w:szCs w:val="28"/>
              </w:rPr>
              <w:t>HRSGe</w:t>
            </w:r>
            <w:proofErr w:type="spellEnd"/>
          </w:p>
          <w:p w14:paraId="7490BAC5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F5A1691" w14:textId="527B560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2, 4, 5, 6 etc.</w:t>
            </w:r>
          </w:p>
          <w:p w14:paraId="6E20B461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17D2AE8" w14:textId="378F8330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2AF1D497" w14:textId="54787FD4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2DCCC3A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60F0102" w14:textId="2E7EDEBF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1 und 3</w:t>
            </w:r>
          </w:p>
          <w:p w14:paraId="54340E84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D3BDBD0" w14:textId="38A68F08" w:rsidR="00234A57" w:rsidRPr="000E500E" w:rsidRDefault="00234A57" w:rsidP="000F3F61">
            <w:pPr>
              <w:ind w:left="32"/>
              <w:jc w:val="center"/>
              <w:rPr>
                <w:bCs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28052D8" w14:textId="77777777" w:rsidR="00234A57" w:rsidRPr="000E500E" w:rsidRDefault="00234A57" w:rsidP="00234A57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0FF6D6C7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B9A4D84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 xml:space="preserve">Studienfreitage </w:t>
            </w:r>
          </w:p>
          <w:p w14:paraId="399C746E" w14:textId="2A62B983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2</w:t>
            </w:r>
            <w:r>
              <w:rPr>
                <w:b/>
                <w:sz w:val="20"/>
                <w:szCs w:val="20"/>
                <w:highlight w:val="green"/>
              </w:rPr>
              <w:t xml:space="preserve"> und 4</w:t>
            </w:r>
            <w:r w:rsidRPr="000E500E">
              <w:rPr>
                <w:b/>
                <w:sz w:val="20"/>
                <w:szCs w:val="20"/>
                <w:highlight w:val="green"/>
              </w:rPr>
              <w:t>.</w:t>
            </w:r>
          </w:p>
          <w:p w14:paraId="422B71A2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728BC14" w14:textId="17B32D3E" w:rsidR="00234A57" w:rsidRPr="000E500E" w:rsidRDefault="00234A57" w:rsidP="00234A57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0"/>
                <w:szCs w:val="20"/>
              </w:rPr>
              <w:t>Raumnummer (Sitzplätze</w:t>
            </w:r>
          </w:p>
        </w:tc>
        <w:tc>
          <w:tcPr>
            <w:tcW w:w="1701" w:type="dxa"/>
          </w:tcPr>
          <w:p w14:paraId="24CF4629" w14:textId="68B0869A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3EC362FE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8B98AC7" w14:textId="5BFBB54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 xml:space="preserve">Studienfreitage </w:t>
            </w:r>
          </w:p>
          <w:p w14:paraId="6266B265" w14:textId="28739B3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, 5, 6 etc.</w:t>
            </w:r>
          </w:p>
          <w:p w14:paraId="310DF2B3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9E3FE17" w14:textId="33F0CA59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2410" w:type="dxa"/>
            <w:gridSpan w:val="2"/>
          </w:tcPr>
          <w:p w14:paraId="786765D2" w14:textId="3A553C39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GyGe</w:t>
            </w:r>
          </w:p>
          <w:p w14:paraId="35948630" w14:textId="77777777" w:rsidR="00234A57" w:rsidRPr="000E500E" w:rsidRDefault="00234A57" w:rsidP="000F3F61">
            <w:pPr>
              <w:ind w:left="32"/>
              <w:rPr>
                <w:b/>
                <w:sz w:val="20"/>
                <w:szCs w:val="20"/>
                <w:highlight w:val="green"/>
              </w:rPr>
            </w:pPr>
          </w:p>
          <w:p w14:paraId="1E8E2783" w14:textId="4935F212" w:rsidR="00234A57" w:rsidRPr="000E500E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</w:t>
            </w:r>
          </w:p>
          <w:p w14:paraId="484E9D34" w14:textId="313A9578" w:rsidR="00234A57" w:rsidRPr="000E500E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alle</w:t>
            </w:r>
          </w:p>
          <w:p w14:paraId="4CBEA5CB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B565704" w14:textId="1DBAB3BD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</w:t>
            </w:r>
          </w:p>
          <w:p w14:paraId="44607495" w14:textId="12175082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 xml:space="preserve"> (Sitzplätze)</w:t>
            </w:r>
          </w:p>
          <w:p w14:paraId="62FC82E2" w14:textId="1F3A13D3" w:rsidR="00234A57" w:rsidRPr="000E500E" w:rsidRDefault="00234A57" w:rsidP="000F3F61">
            <w:pPr>
              <w:ind w:left="32"/>
              <w:jc w:val="center"/>
              <w:rPr>
                <w:bCs/>
                <w:sz w:val="20"/>
                <w:szCs w:val="20"/>
              </w:rPr>
            </w:pPr>
          </w:p>
        </w:tc>
      </w:tr>
      <w:tr w:rsidR="00234A57" w14:paraId="6F3AB610" w14:textId="04DE56C7" w:rsidTr="00234A57">
        <w:trPr>
          <w:trHeight w:val="364"/>
        </w:trPr>
        <w:tc>
          <w:tcPr>
            <w:tcW w:w="1843" w:type="dxa"/>
            <w:vMerge w:val="restart"/>
          </w:tcPr>
          <w:p w14:paraId="435BEC1D" w14:textId="6A269935" w:rsidR="00234A57" w:rsidRDefault="00234A57" w:rsidP="00FD2FAA">
            <w:pPr>
              <w:rPr>
                <w:b/>
                <w:sz w:val="20"/>
                <w:szCs w:val="20"/>
              </w:rPr>
            </w:pPr>
          </w:p>
          <w:p w14:paraId="20E989C7" w14:textId="55CD6300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1.</w:t>
            </w:r>
          </w:p>
          <w:p w14:paraId="343C0958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565FBC59" w14:textId="3AF2871D" w:rsidR="00234A57" w:rsidRPr="003A02D7" w:rsidRDefault="00234A57" w:rsidP="00FD2FAA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08.00 – 11.00 Uhr</w:t>
            </w:r>
          </w:p>
        </w:tc>
        <w:tc>
          <w:tcPr>
            <w:tcW w:w="1276" w:type="dxa"/>
          </w:tcPr>
          <w:p w14:paraId="1C8794CF" w14:textId="4B760908" w:rsidR="00234A57" w:rsidRPr="000E500E" w:rsidRDefault="00234A57" w:rsidP="000F3F61">
            <w:pPr>
              <w:ind w:left="32"/>
              <w:jc w:val="center"/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Februar</w:t>
            </w:r>
          </w:p>
          <w:p w14:paraId="53729BF9" w14:textId="77777777" w:rsidR="00234A57" w:rsidRPr="000E500E" w:rsidRDefault="00234A57" w:rsidP="000F3F61">
            <w:pPr>
              <w:ind w:left="32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D50B90" w14:textId="26D3F403" w:rsidR="00234A57" w:rsidRPr="000E500E" w:rsidRDefault="00234A57" w:rsidP="000F3F61">
            <w:pPr>
              <w:ind w:left="32"/>
              <w:jc w:val="center"/>
              <w:rPr>
                <w:b/>
                <w:color w:val="00B050"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September</w:t>
            </w:r>
          </w:p>
        </w:tc>
        <w:tc>
          <w:tcPr>
            <w:tcW w:w="1559" w:type="dxa"/>
            <w:vMerge w:val="restart"/>
          </w:tcPr>
          <w:p w14:paraId="1A46E7E5" w14:textId="059F7841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206F329C" w14:textId="64F550F4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322F8904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37C20BEC" w14:textId="1B4F93F5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328D6B4D" w14:textId="73F276BC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3856837C" w14:textId="3EE173DC" w:rsidR="00234A57" w:rsidRPr="004E612D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74C6560E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9D8F51F" w14:textId="342426BA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1FDD9052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313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11F66A7D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302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356008F0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1F645DB1" w14:textId="40EAC8B6" w:rsidR="00234A57" w:rsidRPr="003F078F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</w:tc>
        <w:tc>
          <w:tcPr>
            <w:tcW w:w="1701" w:type="dxa"/>
            <w:vMerge w:val="restart"/>
          </w:tcPr>
          <w:p w14:paraId="24A9C53D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4E656BBC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23E2F6BF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4E612D">
              <w:rPr>
                <w:b/>
                <w:sz w:val="20"/>
                <w:szCs w:val="20"/>
              </w:rPr>
              <w:t xml:space="preserve"> </w:t>
            </w:r>
          </w:p>
          <w:p w14:paraId="5520C2FE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91D7484" w14:textId="77777777" w:rsidR="00234A57" w:rsidRPr="003F078F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14:paraId="0F0A6A24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3A68B6D" w14:textId="0B608338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14:paraId="103D8992" w14:textId="2D3E3551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1701" w:type="dxa"/>
            <w:vMerge w:val="restart"/>
          </w:tcPr>
          <w:p w14:paraId="006A324F" w14:textId="50C427F4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4FBEB0B" w14:textId="38747E21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817896F" w14:textId="6A00522B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4A3D3381" w14:textId="28EDAC30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7CF2106D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Keine </w:t>
            </w:r>
          </w:p>
          <w:p w14:paraId="40F37C7D" w14:textId="64005CB9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Räume</w:t>
            </w:r>
          </w:p>
          <w:p w14:paraId="00D08E31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23B0BD9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  <w:p w14:paraId="059CE646" w14:textId="72691F0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A024E" w14:textId="15C2AC2B" w:rsidR="00234A57" w:rsidRPr="000E500E" w:rsidRDefault="00234A57" w:rsidP="000E500E">
            <w:pPr>
              <w:ind w:left="32"/>
              <w:jc w:val="center"/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Februar</w:t>
            </w:r>
          </w:p>
          <w:p w14:paraId="17598F01" w14:textId="4E7899CF" w:rsidR="00234A57" w:rsidRPr="004E612D" w:rsidRDefault="00234A57" w:rsidP="000E500E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55CDA" w14:textId="40BC0139" w:rsidR="00234A57" w:rsidRPr="000E500E" w:rsidRDefault="00234A57">
            <w:pPr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September</w:t>
            </w:r>
          </w:p>
          <w:p w14:paraId="60B3BB4D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</w:tr>
      <w:tr w:rsidR="00234A57" w14:paraId="4C2D151E" w14:textId="0D71AB1D" w:rsidTr="00234A57">
        <w:trPr>
          <w:trHeight w:val="514"/>
        </w:trPr>
        <w:tc>
          <w:tcPr>
            <w:tcW w:w="1843" w:type="dxa"/>
            <w:vMerge/>
          </w:tcPr>
          <w:p w14:paraId="74786F34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D484DBC" w14:textId="4734DCD0" w:rsidR="00234A57" w:rsidRDefault="00234A57" w:rsidP="00FD2FAA">
            <w:pPr>
              <w:rPr>
                <w:b/>
                <w:sz w:val="20"/>
                <w:szCs w:val="20"/>
              </w:rPr>
            </w:pPr>
          </w:p>
          <w:p w14:paraId="2D5AE3E6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F96F24C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12FF6C1" w14:textId="12E5A92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F10DAE">
              <w:rPr>
                <w:b/>
                <w:sz w:val="20"/>
                <w:szCs w:val="20"/>
              </w:rPr>
              <w:t>201 (50)</w:t>
            </w:r>
          </w:p>
          <w:p w14:paraId="06E06A04" w14:textId="00432E49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(24)</w:t>
            </w:r>
          </w:p>
          <w:p w14:paraId="14984CFE" w14:textId="13268F08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314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31CE5CD4" w14:textId="77777777" w:rsidR="00234A57" w:rsidRPr="00C8697A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t xml:space="preserve"> (8)</w:t>
            </w:r>
          </w:p>
          <w:p w14:paraId="54CBFF77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311458E4" w14:textId="77777777" w:rsidR="00234A57" w:rsidRPr="004E612D" w:rsidRDefault="00234A57" w:rsidP="000F3F61">
            <w:pPr>
              <w:ind w:left="32"/>
              <w:jc w:val="center"/>
              <w:rPr>
                <w:b/>
                <w:sz w:val="36"/>
                <w:szCs w:val="36"/>
              </w:rPr>
            </w:pPr>
          </w:p>
          <w:p w14:paraId="74A2E270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B4F20A4" w14:textId="77777777" w:rsidR="00234A57" w:rsidRPr="000F3F61" w:rsidRDefault="00234A57" w:rsidP="000F3F61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DF8AC06" w14:textId="5207F73F" w:rsidR="00234A57" w:rsidRDefault="00234A57" w:rsidP="00FD2FAA">
            <w:pPr>
              <w:rPr>
                <w:b/>
                <w:color w:val="00B050"/>
                <w:sz w:val="20"/>
                <w:szCs w:val="20"/>
              </w:rPr>
            </w:pPr>
          </w:p>
          <w:p w14:paraId="41296905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653AA87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A0FBCC8" w14:textId="6CAEBB48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F10DAE">
              <w:rPr>
                <w:b/>
                <w:sz w:val="20"/>
                <w:szCs w:val="20"/>
              </w:rPr>
              <w:t>201 (50)</w:t>
            </w:r>
          </w:p>
          <w:p w14:paraId="02A97EA2" w14:textId="4171E2D4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(24)</w:t>
            </w:r>
          </w:p>
          <w:p w14:paraId="3B6BBAA2" w14:textId="77777777" w:rsidR="00234A57" w:rsidRPr="00C8697A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t xml:space="preserve"> (8)</w:t>
            </w:r>
          </w:p>
          <w:p w14:paraId="35A40C12" w14:textId="77777777" w:rsidR="00234A57" w:rsidRPr="000F3F61" w:rsidRDefault="00234A57" w:rsidP="000F3F61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16FD5DE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6CA2DA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B0731D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7D93F4D4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3D0B48" w14:textId="23D355EC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9161019" w14:textId="77777777" w:rsidR="00234A57" w:rsidRPr="00F10DAE" w:rsidRDefault="00234A57" w:rsidP="000E500E">
            <w:pPr>
              <w:ind w:left="32"/>
              <w:rPr>
                <w:b/>
                <w:sz w:val="20"/>
                <w:szCs w:val="20"/>
              </w:rPr>
            </w:pPr>
          </w:p>
          <w:p w14:paraId="4B1385EA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6890836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E7435F9" w14:textId="032BE8A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 xml:space="preserve"> (20)</w:t>
            </w:r>
          </w:p>
          <w:p w14:paraId="3B474F59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 xml:space="preserve"> (17)</w:t>
            </w:r>
          </w:p>
          <w:p w14:paraId="39BBE485" w14:textId="77777777" w:rsidR="00234A57" w:rsidRPr="004E612D" w:rsidRDefault="00234A57" w:rsidP="000E500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401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783A9E5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413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7BD8D87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405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6DF17E34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411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648392D0" w14:textId="77777777" w:rsidR="00234A57" w:rsidRPr="004E612D" w:rsidRDefault="00234A57" w:rsidP="000E500E">
            <w:pPr>
              <w:ind w:left="32"/>
              <w:jc w:val="center"/>
              <w:rPr>
                <w:b/>
                <w:color w:val="00B050"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502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26A43491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048173F3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7549D983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20E6AAA4" w14:textId="77777777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B25082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F91B079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14DF251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1C3FA48" w14:textId="120CECA5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 xml:space="preserve"> (20)</w:t>
            </w:r>
          </w:p>
          <w:p w14:paraId="1665806A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 xml:space="preserve"> (17)</w:t>
            </w:r>
          </w:p>
          <w:p w14:paraId="4EFC1755" w14:textId="77777777" w:rsidR="00234A57" w:rsidRPr="004E612D" w:rsidRDefault="00234A57" w:rsidP="000E500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401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3817F3E4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413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09F44DC5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405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7C582D2B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411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5DC9CA13" w14:textId="4F9E070B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502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7C811339" w14:textId="7ECB76ED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E9E60CD" w14:textId="06F6CDA2" w:rsidR="00234A57" w:rsidRPr="004E612D" w:rsidRDefault="00234A57" w:rsidP="000E500E">
            <w:pPr>
              <w:ind w:left="32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 (14)</w:t>
            </w:r>
          </w:p>
          <w:p w14:paraId="5CBE1FFF" w14:textId="77777777" w:rsidR="00234A57" w:rsidRPr="00F10DAE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</w:tr>
      <w:tr w:rsidR="00234A57" w14:paraId="1B42B9E8" w14:textId="1A57060E" w:rsidTr="00234A57">
        <w:trPr>
          <w:trHeight w:val="833"/>
        </w:trPr>
        <w:tc>
          <w:tcPr>
            <w:tcW w:w="1843" w:type="dxa"/>
          </w:tcPr>
          <w:p w14:paraId="7689244C" w14:textId="7E3F47FC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2.</w:t>
            </w:r>
          </w:p>
          <w:p w14:paraId="5CB998A3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0C2DC1DA" w14:textId="77777777" w:rsidR="00234A57" w:rsidRDefault="00234A57" w:rsidP="00FD2FAA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11.30 – 14.30 Uhr</w:t>
            </w:r>
          </w:p>
          <w:p w14:paraId="227A7F7E" w14:textId="571CEFF1" w:rsidR="00234A57" w:rsidRPr="003A02D7" w:rsidRDefault="00234A57" w:rsidP="00FD2F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FA9958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9EE40C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3B420B" w14:textId="18C1A335" w:rsidR="00234A57" w:rsidRPr="004E612D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AD42E4" w14:textId="77777777" w:rsidR="00234A57" w:rsidRPr="004E612D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26FD63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14:paraId="00BA1186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138785" w14:textId="30246EC4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201588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901491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</w:tr>
      <w:tr w:rsidR="00234A57" w14:paraId="2FC93158" w14:textId="7FD64641" w:rsidTr="00234A57">
        <w:trPr>
          <w:trHeight w:val="139"/>
        </w:trPr>
        <w:tc>
          <w:tcPr>
            <w:tcW w:w="1843" w:type="dxa"/>
          </w:tcPr>
          <w:p w14:paraId="22575AFD" w14:textId="57219C6D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3.</w:t>
            </w:r>
          </w:p>
          <w:p w14:paraId="3F7ADB10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0C1A2E5B" w14:textId="5A0C3B9A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15.00 – 18.00 Uhr</w:t>
            </w:r>
          </w:p>
        </w:tc>
        <w:tc>
          <w:tcPr>
            <w:tcW w:w="1276" w:type="dxa"/>
            <w:vMerge/>
          </w:tcPr>
          <w:p w14:paraId="6107F703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A20C60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9820AD" w14:textId="7774099F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72A5BE5" w14:textId="0739583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43395800" w14:textId="2FCB9822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B3A641" w14:textId="77777777" w:rsidR="00234A57" w:rsidRDefault="00234A57" w:rsidP="00FD2FAA">
            <w:pPr>
              <w:ind w:left="32"/>
              <w:rPr>
                <w:b/>
                <w:sz w:val="20"/>
                <w:szCs w:val="20"/>
              </w:rPr>
            </w:pPr>
          </w:p>
          <w:p w14:paraId="5838F34C" w14:textId="61192879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2AB02F16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313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440B2EA4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302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7C0926A3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061C2BFC" w14:textId="0C8BDAE4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C591AF1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C1E96CD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 (16)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01D02443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69A3008F" w14:textId="784F479C" w:rsidR="00234A57" w:rsidRPr="003F078F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</w:tc>
        <w:tc>
          <w:tcPr>
            <w:tcW w:w="1701" w:type="dxa"/>
          </w:tcPr>
          <w:p w14:paraId="24AB6F62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531B768F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5FA02496" w14:textId="77777777" w:rsidR="00234A57" w:rsidRPr="003F078F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1DA88A20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5C7BC39" w14:textId="014E87B0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3CB81BCB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CE67CCD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3A8CC54D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1053FF57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738A88B5" w14:textId="27FF8312" w:rsidR="00234A57" w:rsidRPr="007B002A" w:rsidRDefault="00234A57" w:rsidP="000F3F61">
            <w:pPr>
              <w:ind w:left="32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494A296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14:paraId="7FDF2CDE" w14:textId="7D3EFD9E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14:paraId="17E7F2B1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5A52175C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</w:tr>
    </w:tbl>
    <w:p w14:paraId="439F762D" w14:textId="77777777" w:rsidR="00EB1AB9" w:rsidRPr="007B002A" w:rsidRDefault="00EB1AB9">
      <w:pPr>
        <w:rPr>
          <w:b/>
          <w:color w:val="00B050"/>
          <w:sz w:val="10"/>
          <w:szCs w:val="10"/>
        </w:rPr>
      </w:pPr>
    </w:p>
    <w:p w14:paraId="578565A0" w14:textId="671CB0E9" w:rsidR="00C12EFB" w:rsidRPr="000E500E" w:rsidRDefault="00C12EFB" w:rsidP="000E500E">
      <w:pPr>
        <w:pStyle w:val="Listenabsatz"/>
        <w:numPr>
          <w:ilvl w:val="0"/>
          <w:numId w:val="15"/>
        </w:numPr>
        <w:rPr>
          <w:b/>
          <w:color w:val="4F81BD" w:themeColor="accent1"/>
          <w:sz w:val="24"/>
          <w:szCs w:val="24"/>
        </w:rPr>
      </w:pPr>
      <w:r w:rsidRPr="000E500E">
        <w:rPr>
          <w:b/>
          <w:color w:val="4F81BD" w:themeColor="accent1"/>
          <w:sz w:val="24"/>
          <w:szCs w:val="24"/>
          <w:u w:val="single"/>
        </w:rPr>
        <w:lastRenderedPageBreak/>
        <w:t>Vorgehensweise bei der Raumnutzung:</w:t>
      </w:r>
    </w:p>
    <w:p w14:paraId="0665E8A5" w14:textId="1ED2F8A3" w:rsidR="003A02D7" w:rsidRPr="007B002A" w:rsidRDefault="00EA70A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>Die zur Verfügung stehenden Räume an den Studienfreitagen (s.o.) w</w:t>
      </w:r>
      <w:r w:rsidR="003A02D7" w:rsidRPr="007B002A">
        <w:rPr>
          <w:sz w:val="18"/>
          <w:szCs w:val="18"/>
        </w:rPr>
        <w:t>u</w:t>
      </w:r>
      <w:r w:rsidRPr="007B002A">
        <w:rPr>
          <w:sz w:val="18"/>
          <w:szCs w:val="18"/>
        </w:rPr>
        <w:t xml:space="preserve">rden auf der Basis </w:t>
      </w:r>
      <w:r w:rsidR="003A02D7" w:rsidRPr="007B002A">
        <w:rPr>
          <w:sz w:val="18"/>
          <w:szCs w:val="18"/>
        </w:rPr>
        <w:t>ein</w:t>
      </w:r>
      <w:r w:rsidR="000F3F61">
        <w:rPr>
          <w:sz w:val="18"/>
          <w:szCs w:val="18"/>
        </w:rPr>
        <w:t>er Durchschnittsbedarfserhebung</w:t>
      </w:r>
      <w:r w:rsidR="007B002A" w:rsidRPr="007B002A">
        <w:rPr>
          <w:sz w:val="18"/>
          <w:szCs w:val="18"/>
        </w:rPr>
        <w:t xml:space="preserve"> (im Jahre 2018) </w:t>
      </w:r>
      <w:r w:rsidR="003A02D7" w:rsidRPr="007B002A">
        <w:rPr>
          <w:sz w:val="18"/>
          <w:szCs w:val="18"/>
        </w:rPr>
        <w:t xml:space="preserve">sowie anhand von Erfahrungswerten der </w:t>
      </w:r>
      <w:proofErr w:type="spellStart"/>
      <w:r w:rsidR="003A02D7" w:rsidRPr="007B002A">
        <w:rPr>
          <w:sz w:val="18"/>
          <w:szCs w:val="18"/>
        </w:rPr>
        <w:t>Prabas</w:t>
      </w:r>
      <w:proofErr w:type="spellEnd"/>
      <w:r w:rsidR="003A02D7" w:rsidRPr="007B002A">
        <w:rPr>
          <w:sz w:val="18"/>
          <w:szCs w:val="18"/>
        </w:rPr>
        <w:t xml:space="preserve"> kontingentiert. Die einzelnen Lehrämter können über die jeweils zugewiesenen Räume an ZfsL-Studienfreitagen </w:t>
      </w:r>
      <w:r w:rsidR="00D340E7">
        <w:rPr>
          <w:sz w:val="18"/>
          <w:szCs w:val="18"/>
        </w:rPr>
        <w:t xml:space="preserve">(welche der Verwaltung jeweils frühestmöglich anzuzeigen sind) </w:t>
      </w:r>
      <w:r w:rsidR="003A02D7" w:rsidRPr="007B002A">
        <w:rPr>
          <w:sz w:val="18"/>
          <w:szCs w:val="18"/>
        </w:rPr>
        <w:t xml:space="preserve">frei verfügen und diese belegen. Die Belegung der Räume wird von den jeweiligen </w:t>
      </w:r>
      <w:proofErr w:type="spellStart"/>
      <w:r w:rsidR="003A02D7" w:rsidRPr="007B002A">
        <w:rPr>
          <w:sz w:val="18"/>
          <w:szCs w:val="18"/>
        </w:rPr>
        <w:t>Prabas</w:t>
      </w:r>
      <w:proofErr w:type="spellEnd"/>
      <w:r w:rsidR="003A02D7" w:rsidRPr="007B002A">
        <w:rPr>
          <w:sz w:val="18"/>
          <w:szCs w:val="18"/>
        </w:rPr>
        <w:t xml:space="preserve"> eines Lehramtes VOR einem Studientag schriftlich dokumentiert, indem der Verwaltung ein Raumbelegungsaushang übermittelt wird (in Papierform). </w:t>
      </w:r>
    </w:p>
    <w:p w14:paraId="60933704" w14:textId="483E6118" w:rsidR="003A02D7" w:rsidRPr="007B002A" w:rsidRDefault="003A02D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 xml:space="preserve">Die für das PS kontingentierten Räume können an ZfsL-Studienfreitagen nicht anderweitig belegt werden, </w:t>
      </w:r>
      <w:r w:rsidR="007B002A" w:rsidRPr="007B002A">
        <w:rPr>
          <w:sz w:val="18"/>
          <w:szCs w:val="18"/>
        </w:rPr>
        <w:t xml:space="preserve">bei etwaigen Raumanfragen sind die entsprechend zuständigen </w:t>
      </w:r>
      <w:proofErr w:type="spellStart"/>
      <w:r w:rsidR="007B002A" w:rsidRPr="007B002A">
        <w:rPr>
          <w:sz w:val="18"/>
          <w:szCs w:val="18"/>
        </w:rPr>
        <w:t>Prabas</w:t>
      </w:r>
      <w:proofErr w:type="spellEnd"/>
      <w:r w:rsidR="007B002A" w:rsidRPr="007B002A">
        <w:rPr>
          <w:sz w:val="18"/>
          <w:szCs w:val="18"/>
        </w:rPr>
        <w:t xml:space="preserve"> zu befragen.</w:t>
      </w:r>
    </w:p>
    <w:p w14:paraId="03FA425B" w14:textId="77777777" w:rsidR="007B002A" w:rsidRDefault="007B002A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 xml:space="preserve">Sollten sich neue Bedarfe der Lehrämter ergeben [z.B. durch noch durchzuführende Raumneukonzeptionen (DTR) und damit verbundene Sitzplatzveränderungen in einzelnen Räumen), beraten die </w:t>
      </w:r>
      <w:proofErr w:type="spellStart"/>
      <w:r w:rsidRPr="007B002A">
        <w:rPr>
          <w:sz w:val="18"/>
          <w:szCs w:val="18"/>
        </w:rPr>
        <w:t>Prabas</w:t>
      </w:r>
      <w:proofErr w:type="spellEnd"/>
      <w:r w:rsidRPr="007B002A">
        <w:rPr>
          <w:sz w:val="18"/>
          <w:szCs w:val="18"/>
        </w:rPr>
        <w:t xml:space="preserve"> die Kontingentierung neu und aktualisieren die Aufteilung.</w:t>
      </w:r>
    </w:p>
    <w:p w14:paraId="6B0DE89E" w14:textId="6594B777" w:rsidR="009248DD" w:rsidRPr="007B002A" w:rsidRDefault="000E500E" w:rsidP="007B002A">
      <w:pPr>
        <w:jc w:val="right"/>
        <w:rPr>
          <w:sz w:val="18"/>
          <w:szCs w:val="18"/>
        </w:rPr>
      </w:pPr>
      <w:r>
        <w:rPr>
          <w:b/>
          <w:i/>
          <w:sz w:val="20"/>
          <w:szCs w:val="20"/>
        </w:rPr>
        <w:t xml:space="preserve">Aktualisierte </w:t>
      </w:r>
      <w:r w:rsidR="009248DD" w:rsidRPr="007B002A">
        <w:rPr>
          <w:b/>
          <w:i/>
          <w:sz w:val="20"/>
          <w:szCs w:val="20"/>
        </w:rPr>
        <w:t>Zusammeng</w:t>
      </w:r>
      <w:r w:rsidR="00C12EFB" w:rsidRPr="007B002A">
        <w:rPr>
          <w:b/>
          <w:i/>
          <w:sz w:val="20"/>
          <w:szCs w:val="20"/>
        </w:rPr>
        <w:t xml:space="preserve">estellung der Praxissemesterbeauftragten am </w:t>
      </w:r>
      <w:proofErr w:type="spellStart"/>
      <w:r w:rsidR="00C12EFB" w:rsidRPr="007B002A">
        <w:rPr>
          <w:b/>
          <w:i/>
          <w:sz w:val="20"/>
          <w:szCs w:val="20"/>
        </w:rPr>
        <w:t>ZfsL</w:t>
      </w:r>
      <w:proofErr w:type="spellEnd"/>
      <w:r w:rsidR="00C12EFB" w:rsidRPr="007B002A">
        <w:rPr>
          <w:b/>
          <w:i/>
          <w:sz w:val="20"/>
          <w:szCs w:val="20"/>
        </w:rPr>
        <w:t xml:space="preserve"> MS (G, </w:t>
      </w:r>
      <w:proofErr w:type="spellStart"/>
      <w:r w:rsidR="00C12EFB" w:rsidRPr="007B002A">
        <w:rPr>
          <w:b/>
          <w:i/>
          <w:sz w:val="20"/>
          <w:szCs w:val="20"/>
        </w:rPr>
        <w:t>HRSGe</w:t>
      </w:r>
      <w:proofErr w:type="spellEnd"/>
      <w:r w:rsidR="00C12EFB" w:rsidRPr="007B002A">
        <w:rPr>
          <w:b/>
          <w:i/>
          <w:sz w:val="20"/>
          <w:szCs w:val="20"/>
        </w:rPr>
        <w:t xml:space="preserve">, BK, </w:t>
      </w:r>
      <w:proofErr w:type="spellStart"/>
      <w:r w:rsidR="00C12EFB" w:rsidRPr="007B002A">
        <w:rPr>
          <w:b/>
          <w:i/>
          <w:sz w:val="20"/>
          <w:szCs w:val="20"/>
        </w:rPr>
        <w:t>GyGe</w:t>
      </w:r>
      <w:proofErr w:type="spellEnd"/>
      <w:r w:rsidR="00C12EFB" w:rsidRPr="007B002A">
        <w:rPr>
          <w:b/>
          <w:i/>
          <w:sz w:val="20"/>
          <w:szCs w:val="20"/>
        </w:rPr>
        <w:t>)</w:t>
      </w:r>
      <w:r w:rsidR="00242E13" w:rsidRPr="007B002A">
        <w:rPr>
          <w:b/>
          <w:i/>
          <w:sz w:val="20"/>
          <w:szCs w:val="20"/>
        </w:rPr>
        <w:t xml:space="preserve"> </w:t>
      </w:r>
      <w:r w:rsidR="001E34B1" w:rsidRPr="007B002A">
        <w:rPr>
          <w:b/>
          <w:i/>
          <w:sz w:val="20"/>
          <w:szCs w:val="20"/>
        </w:rPr>
        <w:t xml:space="preserve">am </w:t>
      </w:r>
      <w:r>
        <w:rPr>
          <w:b/>
          <w:i/>
          <w:sz w:val="20"/>
          <w:szCs w:val="20"/>
        </w:rPr>
        <w:t>22.05.2025</w:t>
      </w:r>
    </w:p>
    <w:sectPr w:rsidR="009248DD" w:rsidRPr="007B002A" w:rsidSect="000F3F61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7A5E" w14:textId="77777777" w:rsidR="00A6439F" w:rsidRDefault="00A6439F" w:rsidP="005731A8">
      <w:pPr>
        <w:spacing w:after="0" w:line="240" w:lineRule="auto"/>
      </w:pPr>
      <w:r>
        <w:separator/>
      </w:r>
    </w:p>
  </w:endnote>
  <w:endnote w:type="continuationSeparator" w:id="0">
    <w:p w14:paraId="6C808E8C" w14:textId="77777777" w:rsidR="00A6439F" w:rsidRDefault="00A6439F" w:rsidP="0057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C49A" w14:textId="77777777" w:rsidR="00A6439F" w:rsidRDefault="00A6439F" w:rsidP="005731A8">
      <w:pPr>
        <w:spacing w:after="0" w:line="240" w:lineRule="auto"/>
      </w:pPr>
      <w:r>
        <w:separator/>
      </w:r>
    </w:p>
  </w:footnote>
  <w:footnote w:type="continuationSeparator" w:id="0">
    <w:p w14:paraId="1EABA640" w14:textId="77777777" w:rsidR="00A6439F" w:rsidRDefault="00A6439F" w:rsidP="0057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823F" w14:textId="6FE79F36" w:rsidR="005F4352" w:rsidRDefault="005F4352">
    <w:pPr>
      <w:pStyle w:val="Kopfzeile"/>
    </w:pPr>
    <w:r>
      <w:t xml:space="preserve">Raum-Kontingentierung Studientag Praxissemester                                                       </w:t>
    </w:r>
    <w:r w:rsidR="000F3F61">
      <w:t xml:space="preserve">                                                                                                                 </w:t>
    </w:r>
    <w:r>
      <w:t xml:space="preserve"> Stand: </w:t>
    </w:r>
    <w:r w:rsidR="000F3F61">
      <w:t>22.05.2025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914"/>
    <w:multiLevelType w:val="hybridMultilevel"/>
    <w:tmpl w:val="5680F3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1A39"/>
    <w:multiLevelType w:val="hybridMultilevel"/>
    <w:tmpl w:val="80ACE048"/>
    <w:lvl w:ilvl="0" w:tplc="1B2854D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C7D"/>
    <w:multiLevelType w:val="hybridMultilevel"/>
    <w:tmpl w:val="AAFC2D9C"/>
    <w:lvl w:ilvl="0" w:tplc="EBE088B2">
      <w:start w:val="3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43E6"/>
    <w:multiLevelType w:val="hybridMultilevel"/>
    <w:tmpl w:val="15BE82B6"/>
    <w:lvl w:ilvl="0" w:tplc="B238A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1D7E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FED"/>
    <w:multiLevelType w:val="hybridMultilevel"/>
    <w:tmpl w:val="FAB220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45569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21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37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D80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84E"/>
    <w:multiLevelType w:val="hybridMultilevel"/>
    <w:tmpl w:val="B1A6CD84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6A3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945F0"/>
    <w:multiLevelType w:val="hybridMultilevel"/>
    <w:tmpl w:val="764EF4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6C1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28F"/>
    <w:multiLevelType w:val="hybridMultilevel"/>
    <w:tmpl w:val="F8ECF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34DF9"/>
    <w:multiLevelType w:val="hybridMultilevel"/>
    <w:tmpl w:val="D32852F2"/>
    <w:lvl w:ilvl="0" w:tplc="D0E22F24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F0476"/>
    <w:multiLevelType w:val="hybridMultilevel"/>
    <w:tmpl w:val="45B6DCCE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6E6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31FB"/>
    <w:multiLevelType w:val="hybridMultilevel"/>
    <w:tmpl w:val="C97055E4"/>
    <w:lvl w:ilvl="0" w:tplc="ACB8AFC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76AA5"/>
    <w:multiLevelType w:val="hybridMultilevel"/>
    <w:tmpl w:val="EE188C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22A1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4491">
    <w:abstractNumId w:val="6"/>
  </w:num>
  <w:num w:numId="2" w16cid:durableId="1789741509">
    <w:abstractNumId w:val="3"/>
  </w:num>
  <w:num w:numId="3" w16cid:durableId="848643408">
    <w:abstractNumId w:val="0"/>
  </w:num>
  <w:num w:numId="4" w16cid:durableId="417336405">
    <w:abstractNumId w:val="11"/>
  </w:num>
  <w:num w:numId="5" w16cid:durableId="1756051528">
    <w:abstractNumId w:val="14"/>
  </w:num>
  <w:num w:numId="6" w16cid:durableId="375466590">
    <w:abstractNumId w:val="17"/>
  </w:num>
  <w:num w:numId="7" w16cid:durableId="715861065">
    <w:abstractNumId w:val="8"/>
  </w:num>
  <w:num w:numId="8" w16cid:durableId="402921668">
    <w:abstractNumId w:val="4"/>
  </w:num>
  <w:num w:numId="9" w16cid:durableId="1269502282">
    <w:abstractNumId w:val="7"/>
  </w:num>
  <w:num w:numId="10" w16cid:durableId="635454123">
    <w:abstractNumId w:val="9"/>
  </w:num>
  <w:num w:numId="11" w16cid:durableId="531915488">
    <w:abstractNumId w:val="1"/>
  </w:num>
  <w:num w:numId="12" w16cid:durableId="291325809">
    <w:abstractNumId w:val="12"/>
  </w:num>
  <w:num w:numId="13" w16cid:durableId="271713570">
    <w:abstractNumId w:val="5"/>
  </w:num>
  <w:num w:numId="14" w16cid:durableId="1260213623">
    <w:abstractNumId w:val="19"/>
  </w:num>
  <w:num w:numId="15" w16cid:durableId="1978025751">
    <w:abstractNumId w:val="10"/>
  </w:num>
  <w:num w:numId="16" w16cid:durableId="30545155">
    <w:abstractNumId w:val="15"/>
  </w:num>
  <w:num w:numId="17" w16cid:durableId="1571961821">
    <w:abstractNumId w:val="18"/>
  </w:num>
  <w:num w:numId="18" w16cid:durableId="1819951148">
    <w:abstractNumId w:val="16"/>
  </w:num>
  <w:num w:numId="19" w16cid:durableId="1802190844">
    <w:abstractNumId w:val="13"/>
  </w:num>
  <w:num w:numId="20" w16cid:durableId="341052923">
    <w:abstractNumId w:val="20"/>
  </w:num>
  <w:num w:numId="21" w16cid:durableId="949895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4F"/>
    <w:rsid w:val="00001AAD"/>
    <w:rsid w:val="0002312B"/>
    <w:rsid w:val="00023940"/>
    <w:rsid w:val="00027EFE"/>
    <w:rsid w:val="00030AEE"/>
    <w:rsid w:val="0003677F"/>
    <w:rsid w:val="000421FE"/>
    <w:rsid w:val="00044F06"/>
    <w:rsid w:val="00046459"/>
    <w:rsid w:val="00050285"/>
    <w:rsid w:val="00055167"/>
    <w:rsid w:val="00055AD9"/>
    <w:rsid w:val="00063293"/>
    <w:rsid w:val="00065903"/>
    <w:rsid w:val="00067173"/>
    <w:rsid w:val="00075FC9"/>
    <w:rsid w:val="00083043"/>
    <w:rsid w:val="000850EE"/>
    <w:rsid w:val="00090FCA"/>
    <w:rsid w:val="00094B3E"/>
    <w:rsid w:val="000B1451"/>
    <w:rsid w:val="000B6DCA"/>
    <w:rsid w:val="000C3F59"/>
    <w:rsid w:val="000C569D"/>
    <w:rsid w:val="000D20DF"/>
    <w:rsid w:val="000D5710"/>
    <w:rsid w:val="000E1B1A"/>
    <w:rsid w:val="000E500E"/>
    <w:rsid w:val="000F3F61"/>
    <w:rsid w:val="000F5C02"/>
    <w:rsid w:val="00106CBC"/>
    <w:rsid w:val="00112595"/>
    <w:rsid w:val="00112A08"/>
    <w:rsid w:val="00113186"/>
    <w:rsid w:val="00115837"/>
    <w:rsid w:val="0012089B"/>
    <w:rsid w:val="00143E5B"/>
    <w:rsid w:val="00145790"/>
    <w:rsid w:val="00153BA6"/>
    <w:rsid w:val="00153BD4"/>
    <w:rsid w:val="001600E4"/>
    <w:rsid w:val="00162D0F"/>
    <w:rsid w:val="00191592"/>
    <w:rsid w:val="001922A5"/>
    <w:rsid w:val="00195C25"/>
    <w:rsid w:val="001A1476"/>
    <w:rsid w:val="001A1BA3"/>
    <w:rsid w:val="001A25B1"/>
    <w:rsid w:val="001B1624"/>
    <w:rsid w:val="001C0B38"/>
    <w:rsid w:val="001C56C7"/>
    <w:rsid w:val="001D174A"/>
    <w:rsid w:val="001E34B1"/>
    <w:rsid w:val="001E52E2"/>
    <w:rsid w:val="001F2150"/>
    <w:rsid w:val="00202BAB"/>
    <w:rsid w:val="00206314"/>
    <w:rsid w:val="00210A47"/>
    <w:rsid w:val="00211DDC"/>
    <w:rsid w:val="002210A1"/>
    <w:rsid w:val="002245A4"/>
    <w:rsid w:val="00224BB3"/>
    <w:rsid w:val="00234A57"/>
    <w:rsid w:val="00242E13"/>
    <w:rsid w:val="00244259"/>
    <w:rsid w:val="00256CE2"/>
    <w:rsid w:val="0026082C"/>
    <w:rsid w:val="002672A1"/>
    <w:rsid w:val="0027031F"/>
    <w:rsid w:val="00273E08"/>
    <w:rsid w:val="00276D83"/>
    <w:rsid w:val="00281098"/>
    <w:rsid w:val="00285F96"/>
    <w:rsid w:val="00294D57"/>
    <w:rsid w:val="002A0AEC"/>
    <w:rsid w:val="002B5825"/>
    <w:rsid w:val="002D0C85"/>
    <w:rsid w:val="002D1961"/>
    <w:rsid w:val="002D2EC5"/>
    <w:rsid w:val="002D6100"/>
    <w:rsid w:val="002E2045"/>
    <w:rsid w:val="002E7DCD"/>
    <w:rsid w:val="002F0F1C"/>
    <w:rsid w:val="002F1467"/>
    <w:rsid w:val="002F1C4D"/>
    <w:rsid w:val="002F363A"/>
    <w:rsid w:val="00300D56"/>
    <w:rsid w:val="0030145D"/>
    <w:rsid w:val="003046CD"/>
    <w:rsid w:val="00314154"/>
    <w:rsid w:val="0031732E"/>
    <w:rsid w:val="003314DB"/>
    <w:rsid w:val="00334E9B"/>
    <w:rsid w:val="00341399"/>
    <w:rsid w:val="0034333D"/>
    <w:rsid w:val="00344537"/>
    <w:rsid w:val="003455C9"/>
    <w:rsid w:val="0034787A"/>
    <w:rsid w:val="003533AC"/>
    <w:rsid w:val="0036498E"/>
    <w:rsid w:val="00367111"/>
    <w:rsid w:val="00372E2D"/>
    <w:rsid w:val="003871B5"/>
    <w:rsid w:val="00396065"/>
    <w:rsid w:val="003A02D7"/>
    <w:rsid w:val="003A39E7"/>
    <w:rsid w:val="003A3DFE"/>
    <w:rsid w:val="003A5E8B"/>
    <w:rsid w:val="003A608D"/>
    <w:rsid w:val="003A70B0"/>
    <w:rsid w:val="003B65B6"/>
    <w:rsid w:val="003D33C3"/>
    <w:rsid w:val="003D6D2F"/>
    <w:rsid w:val="003E2CAB"/>
    <w:rsid w:val="003F0173"/>
    <w:rsid w:val="003F078F"/>
    <w:rsid w:val="003F3E3D"/>
    <w:rsid w:val="003F4943"/>
    <w:rsid w:val="00401CE4"/>
    <w:rsid w:val="0041322E"/>
    <w:rsid w:val="0041368E"/>
    <w:rsid w:val="004171B2"/>
    <w:rsid w:val="00424C1C"/>
    <w:rsid w:val="004277B4"/>
    <w:rsid w:val="004325C2"/>
    <w:rsid w:val="00433CEB"/>
    <w:rsid w:val="004352E6"/>
    <w:rsid w:val="004356DB"/>
    <w:rsid w:val="004360B2"/>
    <w:rsid w:val="00436BBF"/>
    <w:rsid w:val="00444380"/>
    <w:rsid w:val="0045086C"/>
    <w:rsid w:val="00450947"/>
    <w:rsid w:val="00451AAB"/>
    <w:rsid w:val="00463767"/>
    <w:rsid w:val="00463B28"/>
    <w:rsid w:val="004648D3"/>
    <w:rsid w:val="00466B2B"/>
    <w:rsid w:val="00485C40"/>
    <w:rsid w:val="00493810"/>
    <w:rsid w:val="004A01F4"/>
    <w:rsid w:val="004A471A"/>
    <w:rsid w:val="004A6178"/>
    <w:rsid w:val="004B442D"/>
    <w:rsid w:val="004B5DDD"/>
    <w:rsid w:val="004B6EF1"/>
    <w:rsid w:val="004C0098"/>
    <w:rsid w:val="004C20E4"/>
    <w:rsid w:val="004C2501"/>
    <w:rsid w:val="004C5894"/>
    <w:rsid w:val="004D4DDF"/>
    <w:rsid w:val="004E1552"/>
    <w:rsid w:val="004E612D"/>
    <w:rsid w:val="004F5079"/>
    <w:rsid w:val="005021F6"/>
    <w:rsid w:val="00507618"/>
    <w:rsid w:val="005171D0"/>
    <w:rsid w:val="005263B0"/>
    <w:rsid w:val="00530E40"/>
    <w:rsid w:val="00533A43"/>
    <w:rsid w:val="0053557F"/>
    <w:rsid w:val="0054000F"/>
    <w:rsid w:val="005465E4"/>
    <w:rsid w:val="005470C7"/>
    <w:rsid w:val="005514AA"/>
    <w:rsid w:val="00557F9F"/>
    <w:rsid w:val="00561132"/>
    <w:rsid w:val="005731A8"/>
    <w:rsid w:val="00574A42"/>
    <w:rsid w:val="00576B8C"/>
    <w:rsid w:val="00581356"/>
    <w:rsid w:val="005904C0"/>
    <w:rsid w:val="00595831"/>
    <w:rsid w:val="00596501"/>
    <w:rsid w:val="0059660E"/>
    <w:rsid w:val="005B2EE2"/>
    <w:rsid w:val="005B502E"/>
    <w:rsid w:val="005D10A0"/>
    <w:rsid w:val="005E2C1D"/>
    <w:rsid w:val="005E4C60"/>
    <w:rsid w:val="005E7F27"/>
    <w:rsid w:val="005F1A88"/>
    <w:rsid w:val="005F4352"/>
    <w:rsid w:val="005F58B3"/>
    <w:rsid w:val="00602D3F"/>
    <w:rsid w:val="00603345"/>
    <w:rsid w:val="00607ABF"/>
    <w:rsid w:val="006123D2"/>
    <w:rsid w:val="0061435F"/>
    <w:rsid w:val="006328E5"/>
    <w:rsid w:val="00644FCD"/>
    <w:rsid w:val="0064598F"/>
    <w:rsid w:val="00645D6D"/>
    <w:rsid w:val="00652443"/>
    <w:rsid w:val="00654B36"/>
    <w:rsid w:val="006552C3"/>
    <w:rsid w:val="00657F1A"/>
    <w:rsid w:val="00672F5C"/>
    <w:rsid w:val="00673011"/>
    <w:rsid w:val="0067589B"/>
    <w:rsid w:val="00676E91"/>
    <w:rsid w:val="006922A5"/>
    <w:rsid w:val="0069267C"/>
    <w:rsid w:val="006A1112"/>
    <w:rsid w:val="006B4C4B"/>
    <w:rsid w:val="006B6139"/>
    <w:rsid w:val="006B7CEB"/>
    <w:rsid w:val="006C2E88"/>
    <w:rsid w:val="006C41E9"/>
    <w:rsid w:val="006C58F9"/>
    <w:rsid w:val="006D2A32"/>
    <w:rsid w:val="006D5797"/>
    <w:rsid w:val="006E7037"/>
    <w:rsid w:val="006F7ACB"/>
    <w:rsid w:val="007025CE"/>
    <w:rsid w:val="007062F0"/>
    <w:rsid w:val="007118BA"/>
    <w:rsid w:val="007127B9"/>
    <w:rsid w:val="0072324E"/>
    <w:rsid w:val="00727DBA"/>
    <w:rsid w:val="007301CC"/>
    <w:rsid w:val="007320A0"/>
    <w:rsid w:val="007323D6"/>
    <w:rsid w:val="007534F6"/>
    <w:rsid w:val="00753BA3"/>
    <w:rsid w:val="0076592E"/>
    <w:rsid w:val="00770B62"/>
    <w:rsid w:val="00774598"/>
    <w:rsid w:val="00775001"/>
    <w:rsid w:val="007758E0"/>
    <w:rsid w:val="00780041"/>
    <w:rsid w:val="0078366E"/>
    <w:rsid w:val="007A3990"/>
    <w:rsid w:val="007B002A"/>
    <w:rsid w:val="007B0086"/>
    <w:rsid w:val="007B1735"/>
    <w:rsid w:val="007B4A4B"/>
    <w:rsid w:val="007B5984"/>
    <w:rsid w:val="007C12B5"/>
    <w:rsid w:val="007C3BAE"/>
    <w:rsid w:val="007D039D"/>
    <w:rsid w:val="007D6CB0"/>
    <w:rsid w:val="007E21C3"/>
    <w:rsid w:val="007E4FAE"/>
    <w:rsid w:val="00800688"/>
    <w:rsid w:val="00806957"/>
    <w:rsid w:val="00807257"/>
    <w:rsid w:val="008102EB"/>
    <w:rsid w:val="00821205"/>
    <w:rsid w:val="00824484"/>
    <w:rsid w:val="008275F0"/>
    <w:rsid w:val="00830C47"/>
    <w:rsid w:val="00830F88"/>
    <w:rsid w:val="00832734"/>
    <w:rsid w:val="00837CFA"/>
    <w:rsid w:val="00853528"/>
    <w:rsid w:val="00866DE0"/>
    <w:rsid w:val="00873B0D"/>
    <w:rsid w:val="008758E6"/>
    <w:rsid w:val="00884FAC"/>
    <w:rsid w:val="00894A01"/>
    <w:rsid w:val="00897280"/>
    <w:rsid w:val="008A0C52"/>
    <w:rsid w:val="008A53AE"/>
    <w:rsid w:val="008A7ED6"/>
    <w:rsid w:val="008B03F2"/>
    <w:rsid w:val="008B17B1"/>
    <w:rsid w:val="008B4FFA"/>
    <w:rsid w:val="008D3B7A"/>
    <w:rsid w:val="008E5A37"/>
    <w:rsid w:val="009004AE"/>
    <w:rsid w:val="00901EDB"/>
    <w:rsid w:val="00903492"/>
    <w:rsid w:val="009137C4"/>
    <w:rsid w:val="00920140"/>
    <w:rsid w:val="009248DD"/>
    <w:rsid w:val="00945D55"/>
    <w:rsid w:val="00952654"/>
    <w:rsid w:val="00957087"/>
    <w:rsid w:val="009619BB"/>
    <w:rsid w:val="00963709"/>
    <w:rsid w:val="00963949"/>
    <w:rsid w:val="009660BA"/>
    <w:rsid w:val="0097687B"/>
    <w:rsid w:val="00980CDD"/>
    <w:rsid w:val="009839FE"/>
    <w:rsid w:val="00987DA8"/>
    <w:rsid w:val="009934BA"/>
    <w:rsid w:val="00997A4F"/>
    <w:rsid w:val="009A04E4"/>
    <w:rsid w:val="009B3385"/>
    <w:rsid w:val="009B45C9"/>
    <w:rsid w:val="009B7001"/>
    <w:rsid w:val="009C56B4"/>
    <w:rsid w:val="009C7C3B"/>
    <w:rsid w:val="009D792C"/>
    <w:rsid w:val="009D7E43"/>
    <w:rsid w:val="009E0A4F"/>
    <w:rsid w:val="009E2E8D"/>
    <w:rsid w:val="009E36DF"/>
    <w:rsid w:val="009E43E9"/>
    <w:rsid w:val="009E5B6D"/>
    <w:rsid w:val="009F326E"/>
    <w:rsid w:val="009F61E6"/>
    <w:rsid w:val="00A15819"/>
    <w:rsid w:val="00A272A5"/>
    <w:rsid w:val="00A306D8"/>
    <w:rsid w:val="00A34C0B"/>
    <w:rsid w:val="00A37E95"/>
    <w:rsid w:val="00A441CE"/>
    <w:rsid w:val="00A44F7F"/>
    <w:rsid w:val="00A460E9"/>
    <w:rsid w:val="00A52068"/>
    <w:rsid w:val="00A5541E"/>
    <w:rsid w:val="00A572FA"/>
    <w:rsid w:val="00A6439F"/>
    <w:rsid w:val="00A67D8C"/>
    <w:rsid w:val="00A766E2"/>
    <w:rsid w:val="00A80543"/>
    <w:rsid w:val="00A82A19"/>
    <w:rsid w:val="00A85C65"/>
    <w:rsid w:val="00A86C38"/>
    <w:rsid w:val="00A9030E"/>
    <w:rsid w:val="00A9133B"/>
    <w:rsid w:val="00A94CBC"/>
    <w:rsid w:val="00A95DC5"/>
    <w:rsid w:val="00A9644A"/>
    <w:rsid w:val="00A96A70"/>
    <w:rsid w:val="00AA74C8"/>
    <w:rsid w:val="00AB3DC0"/>
    <w:rsid w:val="00AB558E"/>
    <w:rsid w:val="00AD33E1"/>
    <w:rsid w:val="00AD3688"/>
    <w:rsid w:val="00AE0A3A"/>
    <w:rsid w:val="00AE3DFC"/>
    <w:rsid w:val="00AE59C8"/>
    <w:rsid w:val="00AF2B0F"/>
    <w:rsid w:val="00AF7FDD"/>
    <w:rsid w:val="00B04150"/>
    <w:rsid w:val="00B0766D"/>
    <w:rsid w:val="00B23C18"/>
    <w:rsid w:val="00B34C6F"/>
    <w:rsid w:val="00B60EFA"/>
    <w:rsid w:val="00B6577C"/>
    <w:rsid w:val="00B669D5"/>
    <w:rsid w:val="00B76B49"/>
    <w:rsid w:val="00B76F1E"/>
    <w:rsid w:val="00B81A11"/>
    <w:rsid w:val="00B871B9"/>
    <w:rsid w:val="00B97E75"/>
    <w:rsid w:val="00BA1ECC"/>
    <w:rsid w:val="00BB7080"/>
    <w:rsid w:val="00BB7095"/>
    <w:rsid w:val="00BC6FB4"/>
    <w:rsid w:val="00BD385F"/>
    <w:rsid w:val="00BD4631"/>
    <w:rsid w:val="00BD514B"/>
    <w:rsid w:val="00BD61C6"/>
    <w:rsid w:val="00BD68F4"/>
    <w:rsid w:val="00BD75A8"/>
    <w:rsid w:val="00BE14BB"/>
    <w:rsid w:val="00BE52A4"/>
    <w:rsid w:val="00BE73F1"/>
    <w:rsid w:val="00BF3B74"/>
    <w:rsid w:val="00C01BA5"/>
    <w:rsid w:val="00C05A16"/>
    <w:rsid w:val="00C06B21"/>
    <w:rsid w:val="00C12361"/>
    <w:rsid w:val="00C12EFB"/>
    <w:rsid w:val="00C146C8"/>
    <w:rsid w:val="00C1520C"/>
    <w:rsid w:val="00C26F40"/>
    <w:rsid w:val="00C361B9"/>
    <w:rsid w:val="00C36EE1"/>
    <w:rsid w:val="00C37807"/>
    <w:rsid w:val="00C40B71"/>
    <w:rsid w:val="00C40C64"/>
    <w:rsid w:val="00C43C9E"/>
    <w:rsid w:val="00C471E9"/>
    <w:rsid w:val="00C51492"/>
    <w:rsid w:val="00C51C9E"/>
    <w:rsid w:val="00C568BA"/>
    <w:rsid w:val="00C6190B"/>
    <w:rsid w:val="00C62850"/>
    <w:rsid w:val="00C74D1C"/>
    <w:rsid w:val="00C81A28"/>
    <w:rsid w:val="00C82246"/>
    <w:rsid w:val="00C83FF3"/>
    <w:rsid w:val="00C8697A"/>
    <w:rsid w:val="00CA0F1F"/>
    <w:rsid w:val="00CA5702"/>
    <w:rsid w:val="00CB1316"/>
    <w:rsid w:val="00CB1578"/>
    <w:rsid w:val="00CB386F"/>
    <w:rsid w:val="00CB5D2A"/>
    <w:rsid w:val="00CC05F6"/>
    <w:rsid w:val="00CC4ECB"/>
    <w:rsid w:val="00CE32B2"/>
    <w:rsid w:val="00CE3BEA"/>
    <w:rsid w:val="00CF6F60"/>
    <w:rsid w:val="00D037CF"/>
    <w:rsid w:val="00D04989"/>
    <w:rsid w:val="00D06F0D"/>
    <w:rsid w:val="00D22256"/>
    <w:rsid w:val="00D25F79"/>
    <w:rsid w:val="00D32EB9"/>
    <w:rsid w:val="00D33928"/>
    <w:rsid w:val="00D340E7"/>
    <w:rsid w:val="00D40B6B"/>
    <w:rsid w:val="00D44612"/>
    <w:rsid w:val="00D57621"/>
    <w:rsid w:val="00D637D8"/>
    <w:rsid w:val="00D70E65"/>
    <w:rsid w:val="00D71FF8"/>
    <w:rsid w:val="00D733B4"/>
    <w:rsid w:val="00D8118D"/>
    <w:rsid w:val="00D9195E"/>
    <w:rsid w:val="00D9740E"/>
    <w:rsid w:val="00DA2ACA"/>
    <w:rsid w:val="00DB6447"/>
    <w:rsid w:val="00DB7D16"/>
    <w:rsid w:val="00DC1FF9"/>
    <w:rsid w:val="00DC2CAF"/>
    <w:rsid w:val="00DC2CF6"/>
    <w:rsid w:val="00DC6BA9"/>
    <w:rsid w:val="00DE0028"/>
    <w:rsid w:val="00DE3113"/>
    <w:rsid w:val="00DF2440"/>
    <w:rsid w:val="00DF7CB1"/>
    <w:rsid w:val="00DF7DE5"/>
    <w:rsid w:val="00E008B6"/>
    <w:rsid w:val="00E065FB"/>
    <w:rsid w:val="00E10366"/>
    <w:rsid w:val="00E20EB2"/>
    <w:rsid w:val="00E216A1"/>
    <w:rsid w:val="00E33AA3"/>
    <w:rsid w:val="00E359E4"/>
    <w:rsid w:val="00E424B8"/>
    <w:rsid w:val="00E42EDD"/>
    <w:rsid w:val="00E43E94"/>
    <w:rsid w:val="00E464B8"/>
    <w:rsid w:val="00E57260"/>
    <w:rsid w:val="00E610B3"/>
    <w:rsid w:val="00E62FBF"/>
    <w:rsid w:val="00E65E16"/>
    <w:rsid w:val="00E664B4"/>
    <w:rsid w:val="00E72A99"/>
    <w:rsid w:val="00E77E5B"/>
    <w:rsid w:val="00E8691D"/>
    <w:rsid w:val="00E92907"/>
    <w:rsid w:val="00E93915"/>
    <w:rsid w:val="00EA098E"/>
    <w:rsid w:val="00EA1290"/>
    <w:rsid w:val="00EA1345"/>
    <w:rsid w:val="00EA4892"/>
    <w:rsid w:val="00EA70A7"/>
    <w:rsid w:val="00EB1AB9"/>
    <w:rsid w:val="00EB6F9E"/>
    <w:rsid w:val="00EC5ABA"/>
    <w:rsid w:val="00ED4F84"/>
    <w:rsid w:val="00EE237F"/>
    <w:rsid w:val="00EE7F97"/>
    <w:rsid w:val="00EF09F5"/>
    <w:rsid w:val="00EF19A6"/>
    <w:rsid w:val="00EF2B24"/>
    <w:rsid w:val="00EF42B9"/>
    <w:rsid w:val="00EF5239"/>
    <w:rsid w:val="00F10A0A"/>
    <w:rsid w:val="00F10DAE"/>
    <w:rsid w:val="00F122B9"/>
    <w:rsid w:val="00F15D77"/>
    <w:rsid w:val="00F206BC"/>
    <w:rsid w:val="00F32623"/>
    <w:rsid w:val="00F4218E"/>
    <w:rsid w:val="00F647FB"/>
    <w:rsid w:val="00F66B5F"/>
    <w:rsid w:val="00F70A81"/>
    <w:rsid w:val="00F72430"/>
    <w:rsid w:val="00F73233"/>
    <w:rsid w:val="00F83E9D"/>
    <w:rsid w:val="00F9498E"/>
    <w:rsid w:val="00FA1E29"/>
    <w:rsid w:val="00FA66AC"/>
    <w:rsid w:val="00FB16AD"/>
    <w:rsid w:val="00FB4B10"/>
    <w:rsid w:val="00FB7E3B"/>
    <w:rsid w:val="00FD1654"/>
    <w:rsid w:val="00FD2FAA"/>
    <w:rsid w:val="00FD5902"/>
    <w:rsid w:val="00FF0897"/>
    <w:rsid w:val="00FF0F91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CD5F"/>
  <w15:docId w15:val="{FD0923B8-6DAA-4A17-BFC9-20C4471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1A8"/>
  </w:style>
  <w:style w:type="paragraph" w:styleId="Fuzeile">
    <w:name w:val="footer"/>
    <w:basedOn w:val="Standard"/>
    <w:link w:val="Fu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1A8"/>
  </w:style>
  <w:style w:type="paragraph" w:customStyle="1" w:styleId="Default">
    <w:name w:val="Default"/>
    <w:rsid w:val="00AB3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421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38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38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38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8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8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86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F0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ECB7-065A-41AC-BA32-2DDCC03C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12_dahcor</cp:lastModifiedBy>
  <cp:revision>2</cp:revision>
  <cp:lastPrinted>2021-11-01T17:38:00Z</cp:lastPrinted>
  <dcterms:created xsi:type="dcterms:W3CDTF">2025-05-22T10:53:00Z</dcterms:created>
  <dcterms:modified xsi:type="dcterms:W3CDTF">2025-05-22T10:53:00Z</dcterms:modified>
</cp:coreProperties>
</file>