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3101"/>
        <w:gridCol w:w="6959"/>
        <w:gridCol w:w="4217"/>
      </w:tblGrid>
      <w:tr w:rsidR="006F708C" w:rsidTr="006F708C">
        <w:tc>
          <w:tcPr>
            <w:tcW w:w="1086" w:type="pct"/>
          </w:tcPr>
          <w:p w:rsidR="006F708C" w:rsidRPr="00ED5500" w:rsidRDefault="006F708C" w:rsidP="00643FC2">
            <w:pPr>
              <w:rPr>
                <w:b/>
                <w:sz w:val="28"/>
              </w:rPr>
            </w:pPr>
            <w:r w:rsidRPr="00ED5500">
              <w:rPr>
                <w:b/>
                <w:sz w:val="28"/>
              </w:rPr>
              <w:t>Themenbereich</w:t>
            </w:r>
          </w:p>
        </w:tc>
        <w:tc>
          <w:tcPr>
            <w:tcW w:w="2437" w:type="pct"/>
          </w:tcPr>
          <w:p w:rsidR="006F708C" w:rsidRPr="00ED5500" w:rsidRDefault="006F708C" w:rsidP="00643FC2">
            <w:pPr>
              <w:rPr>
                <w:b/>
                <w:sz w:val="28"/>
              </w:rPr>
            </w:pPr>
            <w:r w:rsidRPr="00ED5500">
              <w:rPr>
                <w:b/>
                <w:sz w:val="28"/>
              </w:rPr>
              <w:t>Frage(n)</w:t>
            </w:r>
          </w:p>
        </w:tc>
        <w:tc>
          <w:tcPr>
            <w:tcW w:w="1477" w:type="pct"/>
          </w:tcPr>
          <w:p w:rsidR="006F708C" w:rsidRPr="00ED5500" w:rsidRDefault="006F708C" w:rsidP="00643FC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Hinweise</w:t>
            </w:r>
          </w:p>
        </w:tc>
      </w:tr>
      <w:tr w:rsidR="006F708C" w:rsidTr="006F708C">
        <w:tc>
          <w:tcPr>
            <w:tcW w:w="1086" w:type="pct"/>
            <w:shd w:val="clear" w:color="auto" w:fill="D5DCE4" w:themeFill="text2" w:themeFillTint="33"/>
          </w:tcPr>
          <w:p w:rsidR="006F708C" w:rsidRPr="0091720F" w:rsidRDefault="006F708C" w:rsidP="00643FC2">
            <w:pPr>
              <w:rPr>
                <w:b/>
                <w:sz w:val="20"/>
              </w:rPr>
            </w:pPr>
            <w:r w:rsidRPr="0091720F">
              <w:rPr>
                <w:b/>
                <w:sz w:val="20"/>
              </w:rPr>
              <w:t>1. Auswählbare Schulen/</w:t>
            </w:r>
            <w:r w:rsidRPr="0091720F">
              <w:rPr>
                <w:b/>
                <w:sz w:val="20"/>
                <w:highlight w:val="cyan"/>
              </w:rPr>
              <w:t>Ablehnungsgründe</w:t>
            </w:r>
            <w:r w:rsidRPr="0091720F">
              <w:rPr>
                <w:b/>
                <w:sz w:val="20"/>
              </w:rPr>
              <w:t xml:space="preserve"> von Schulen</w:t>
            </w:r>
          </w:p>
          <w:p w:rsidR="006F708C" w:rsidRPr="0091720F" w:rsidRDefault="006F708C" w:rsidP="00643FC2">
            <w:pPr>
              <w:rPr>
                <w:sz w:val="20"/>
              </w:rPr>
            </w:pPr>
            <w:r w:rsidRPr="0091720F">
              <w:rPr>
                <w:sz w:val="20"/>
                <w:highlight w:val="yellow"/>
              </w:rPr>
              <w:t>JULIA/</w:t>
            </w:r>
            <w:r w:rsidRPr="0091720F">
              <w:rPr>
                <w:sz w:val="20"/>
                <w:highlight w:val="cyan"/>
              </w:rPr>
              <w:t>UDO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:rsidR="006F708C" w:rsidRPr="0091720F" w:rsidRDefault="006F708C" w:rsidP="001E6A39">
            <w:pPr>
              <w:pStyle w:val="Listenabsatz"/>
              <w:numPr>
                <w:ilvl w:val="0"/>
                <w:numId w:val="2"/>
              </w:numPr>
              <w:rPr>
                <w:sz w:val="20"/>
              </w:rPr>
            </w:pPr>
            <w:r w:rsidRPr="0091720F">
              <w:rPr>
                <w:sz w:val="20"/>
              </w:rPr>
              <w:t>Ich wollte fragen, ob jede Grundschule, die im PVP-Verteilverfahren vorzufinden ist, auch einen Praxissemester-Studenten annimmt oder eventuell gar nicht jede Schule einen Praxissemester-Studenten aufnehmen möchte</w:t>
            </w:r>
          </w:p>
        </w:tc>
        <w:tc>
          <w:tcPr>
            <w:tcW w:w="1477" w:type="pct"/>
            <w:shd w:val="clear" w:color="auto" w:fill="D5DCE4" w:themeFill="text2" w:themeFillTint="33"/>
          </w:tcPr>
          <w:p w:rsidR="006F708C" w:rsidRPr="0091720F" w:rsidRDefault="006F708C" w:rsidP="0091720F">
            <w:pPr>
              <w:pStyle w:val="Listenabsatz"/>
              <w:ind w:left="360"/>
              <w:rPr>
                <w:sz w:val="20"/>
              </w:rPr>
            </w:pPr>
          </w:p>
        </w:tc>
      </w:tr>
      <w:tr w:rsidR="006F708C" w:rsidTr="006F708C">
        <w:tc>
          <w:tcPr>
            <w:tcW w:w="1086" w:type="pct"/>
          </w:tcPr>
          <w:p w:rsidR="006F708C" w:rsidRPr="0091720F" w:rsidRDefault="006F708C" w:rsidP="001E6A39">
            <w:pPr>
              <w:rPr>
                <w:b/>
                <w:sz w:val="20"/>
              </w:rPr>
            </w:pPr>
            <w:r w:rsidRPr="0091720F">
              <w:rPr>
                <w:b/>
                <w:sz w:val="20"/>
              </w:rPr>
              <w:t>2.Verfügbare Schulplätze</w:t>
            </w:r>
          </w:p>
          <w:p w:rsidR="006F708C" w:rsidRPr="0091720F" w:rsidRDefault="006F708C" w:rsidP="001E6A39">
            <w:pPr>
              <w:rPr>
                <w:sz w:val="20"/>
              </w:rPr>
            </w:pPr>
            <w:r w:rsidRPr="0091720F">
              <w:rPr>
                <w:sz w:val="20"/>
                <w:highlight w:val="cyan"/>
              </w:rPr>
              <w:t>UDO</w:t>
            </w:r>
          </w:p>
        </w:tc>
        <w:tc>
          <w:tcPr>
            <w:tcW w:w="2437" w:type="pct"/>
          </w:tcPr>
          <w:p w:rsidR="006F708C" w:rsidRPr="0091720F" w:rsidRDefault="006F708C" w:rsidP="001E6A39">
            <w:pPr>
              <w:pStyle w:val="Listenabsatz"/>
              <w:numPr>
                <w:ilvl w:val="0"/>
                <w:numId w:val="2"/>
              </w:numPr>
              <w:rPr>
                <w:sz w:val="20"/>
              </w:rPr>
            </w:pPr>
            <w:r w:rsidRPr="0091720F">
              <w:rPr>
                <w:sz w:val="20"/>
              </w:rPr>
              <w:t>Wie viele Plätze haben die Schulen? Wie viele Studenten können die Schulen aufnehmen?</w:t>
            </w:r>
          </w:p>
        </w:tc>
        <w:tc>
          <w:tcPr>
            <w:tcW w:w="1477" w:type="pct"/>
          </w:tcPr>
          <w:p w:rsidR="006F708C" w:rsidRPr="0091720F" w:rsidRDefault="006F708C" w:rsidP="001E6A39">
            <w:pPr>
              <w:pStyle w:val="Listenabsatz"/>
              <w:numPr>
                <w:ilvl w:val="0"/>
                <w:numId w:val="2"/>
              </w:numPr>
              <w:rPr>
                <w:sz w:val="20"/>
              </w:rPr>
            </w:pPr>
          </w:p>
        </w:tc>
      </w:tr>
      <w:tr w:rsidR="006F708C" w:rsidTr="006F708C">
        <w:tc>
          <w:tcPr>
            <w:tcW w:w="1086" w:type="pct"/>
            <w:shd w:val="clear" w:color="auto" w:fill="D5DCE4" w:themeFill="text2" w:themeFillTint="33"/>
          </w:tcPr>
          <w:p w:rsidR="006F708C" w:rsidRPr="0091720F" w:rsidRDefault="006F708C" w:rsidP="001E6A39">
            <w:pPr>
              <w:rPr>
                <w:b/>
                <w:sz w:val="20"/>
              </w:rPr>
            </w:pPr>
            <w:r w:rsidRPr="0091720F">
              <w:rPr>
                <w:b/>
                <w:sz w:val="20"/>
              </w:rPr>
              <w:t>3. Regionalklassen</w:t>
            </w:r>
          </w:p>
          <w:p w:rsidR="006F708C" w:rsidRPr="0091720F" w:rsidRDefault="006F708C" w:rsidP="001E6A39">
            <w:pPr>
              <w:rPr>
                <w:sz w:val="20"/>
              </w:rPr>
            </w:pPr>
            <w:r w:rsidRPr="0091720F">
              <w:rPr>
                <w:sz w:val="20"/>
                <w:highlight w:val="yellow"/>
              </w:rPr>
              <w:t>JULIA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:rsidR="006F708C" w:rsidRPr="0091720F" w:rsidRDefault="006F708C" w:rsidP="004203A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sz w:val="20"/>
              </w:rPr>
            </w:pPr>
            <w:r w:rsidRPr="0091720F">
              <w:rPr>
                <w:sz w:val="20"/>
              </w:rPr>
              <w:t>Kann ich auch nur Schulen aus Regionalklasse 2 wählen?</w:t>
            </w:r>
          </w:p>
          <w:p w:rsidR="0091720F" w:rsidRPr="0091720F" w:rsidRDefault="0091720F" w:rsidP="0091720F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sz w:val="20"/>
              </w:rPr>
            </w:pPr>
            <w:r w:rsidRPr="0091720F">
              <w:rPr>
                <w:sz w:val="20"/>
              </w:rPr>
              <w:t>Wie finde ich raus, welche Regionalklasse eine Schule hat?</w:t>
            </w:r>
          </w:p>
          <w:p w:rsidR="0091720F" w:rsidRPr="0091720F" w:rsidRDefault="0091720F" w:rsidP="004203A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sz w:val="20"/>
              </w:rPr>
            </w:pPr>
          </w:p>
        </w:tc>
        <w:tc>
          <w:tcPr>
            <w:tcW w:w="1477" w:type="pct"/>
            <w:shd w:val="clear" w:color="auto" w:fill="D5DCE4" w:themeFill="text2" w:themeFillTint="33"/>
          </w:tcPr>
          <w:p w:rsidR="006B7112" w:rsidRPr="0091720F" w:rsidRDefault="006B7112" w:rsidP="001E6A39">
            <w:pPr>
              <w:pStyle w:val="Listenabsatz"/>
              <w:numPr>
                <w:ilvl w:val="0"/>
                <w:numId w:val="1"/>
              </w:numPr>
              <w:rPr>
                <w:sz w:val="20"/>
              </w:rPr>
            </w:pPr>
            <w:r w:rsidRPr="0091720F">
              <w:rPr>
                <w:sz w:val="20"/>
              </w:rPr>
              <w:t>Regionalklassenprinzip erklären (Folie 11-15)</w:t>
            </w:r>
          </w:p>
          <w:p w:rsidR="006F708C" w:rsidRPr="0091720F" w:rsidRDefault="006F708C" w:rsidP="001E6A39">
            <w:pPr>
              <w:pStyle w:val="Listenabsatz"/>
              <w:numPr>
                <w:ilvl w:val="0"/>
                <w:numId w:val="1"/>
              </w:numPr>
              <w:rPr>
                <w:sz w:val="20"/>
              </w:rPr>
            </w:pPr>
            <w:proofErr w:type="spellStart"/>
            <w:r w:rsidRPr="0091720F">
              <w:rPr>
                <w:sz w:val="20"/>
              </w:rPr>
              <w:t>Evt.</w:t>
            </w:r>
            <w:proofErr w:type="spellEnd"/>
            <w:r w:rsidRPr="0091720F">
              <w:rPr>
                <w:sz w:val="20"/>
              </w:rPr>
              <w:t xml:space="preserve"> PVP zeigen: Filterfunktion</w:t>
            </w:r>
          </w:p>
          <w:p w:rsidR="006B7112" w:rsidRPr="0091720F" w:rsidRDefault="006B7112" w:rsidP="001E6A39">
            <w:pPr>
              <w:pStyle w:val="Listenabsatz"/>
              <w:numPr>
                <w:ilvl w:val="0"/>
                <w:numId w:val="1"/>
              </w:numPr>
              <w:rPr>
                <w:sz w:val="20"/>
              </w:rPr>
            </w:pPr>
          </w:p>
        </w:tc>
      </w:tr>
      <w:tr w:rsidR="006F708C" w:rsidTr="006F708C">
        <w:tc>
          <w:tcPr>
            <w:tcW w:w="1086" w:type="pct"/>
          </w:tcPr>
          <w:p w:rsidR="006F708C" w:rsidRPr="0091720F" w:rsidRDefault="006F708C" w:rsidP="004203AD">
            <w:pPr>
              <w:rPr>
                <w:b/>
                <w:sz w:val="20"/>
              </w:rPr>
            </w:pPr>
            <w:r w:rsidRPr="0091720F">
              <w:rPr>
                <w:b/>
                <w:sz w:val="20"/>
              </w:rPr>
              <w:t>4. Berücksichtigung der ZfsL-Bezirke bei der Schulauswahl</w:t>
            </w:r>
          </w:p>
          <w:p w:rsidR="006F708C" w:rsidRPr="0091720F" w:rsidRDefault="006F708C" w:rsidP="004203AD">
            <w:pPr>
              <w:rPr>
                <w:b/>
                <w:sz w:val="20"/>
              </w:rPr>
            </w:pPr>
            <w:r w:rsidRPr="0091720F">
              <w:rPr>
                <w:sz w:val="20"/>
                <w:highlight w:val="yellow"/>
              </w:rPr>
              <w:t>JULIA/</w:t>
            </w:r>
            <w:r w:rsidRPr="0091720F">
              <w:rPr>
                <w:sz w:val="20"/>
                <w:highlight w:val="cyan"/>
              </w:rPr>
              <w:t>UDO</w:t>
            </w:r>
          </w:p>
        </w:tc>
        <w:tc>
          <w:tcPr>
            <w:tcW w:w="2437" w:type="pct"/>
          </w:tcPr>
          <w:p w:rsidR="006F708C" w:rsidRPr="0091720F" w:rsidRDefault="006F708C" w:rsidP="004C7882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sz w:val="20"/>
              </w:rPr>
            </w:pPr>
            <w:r w:rsidRPr="0091720F">
              <w:rPr>
                <w:sz w:val="20"/>
              </w:rPr>
              <w:t>Woher weiß ich welches ZfsL zu einer Schule gehört?</w:t>
            </w:r>
          </w:p>
          <w:p w:rsidR="006F708C" w:rsidRPr="0091720F" w:rsidRDefault="006F708C" w:rsidP="004C7882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sz w:val="20"/>
              </w:rPr>
            </w:pPr>
            <w:r w:rsidRPr="0091720F">
              <w:rPr>
                <w:sz w:val="20"/>
              </w:rPr>
              <w:t xml:space="preserve">Reicht es bei der Wahl der Schulen, wenn beispielsweise vier Schulen aus dem </w:t>
            </w:r>
            <w:proofErr w:type="spellStart"/>
            <w:r w:rsidRPr="0091720F">
              <w:rPr>
                <w:sz w:val="20"/>
              </w:rPr>
              <w:t>Zfsl</w:t>
            </w:r>
            <w:proofErr w:type="spellEnd"/>
            <w:r w:rsidRPr="0091720F">
              <w:rPr>
                <w:sz w:val="20"/>
              </w:rPr>
              <w:t xml:space="preserve"> Münster angewählt werden und nur eine aus dem </w:t>
            </w:r>
            <w:proofErr w:type="spellStart"/>
            <w:r w:rsidRPr="0091720F">
              <w:rPr>
                <w:sz w:val="20"/>
              </w:rPr>
              <w:t>Zfsl</w:t>
            </w:r>
            <w:proofErr w:type="spellEnd"/>
            <w:r w:rsidRPr="0091720F">
              <w:rPr>
                <w:sz w:val="20"/>
              </w:rPr>
              <w:t xml:space="preserve"> Recklinghausen? Oder wäre es noch besser, noch eine Schule mehr aus dem </w:t>
            </w:r>
            <w:proofErr w:type="spellStart"/>
            <w:r w:rsidRPr="0091720F">
              <w:rPr>
                <w:sz w:val="20"/>
              </w:rPr>
              <w:t>Zfsl</w:t>
            </w:r>
            <w:proofErr w:type="spellEnd"/>
            <w:r w:rsidRPr="0091720F">
              <w:rPr>
                <w:sz w:val="20"/>
              </w:rPr>
              <w:t xml:space="preserve"> Recklinghausen zu wählen, um an eine Wunschschule zu kommen?</w:t>
            </w:r>
          </w:p>
        </w:tc>
        <w:tc>
          <w:tcPr>
            <w:tcW w:w="1477" w:type="pct"/>
          </w:tcPr>
          <w:p w:rsidR="006F708C" w:rsidRPr="0091720F" w:rsidRDefault="006F708C" w:rsidP="004C7882">
            <w:pPr>
              <w:pStyle w:val="Listenabsatz"/>
              <w:numPr>
                <w:ilvl w:val="0"/>
                <w:numId w:val="1"/>
              </w:numPr>
              <w:rPr>
                <w:sz w:val="20"/>
              </w:rPr>
            </w:pPr>
            <w:r w:rsidRPr="0091720F">
              <w:rPr>
                <w:sz w:val="20"/>
              </w:rPr>
              <w:t>Seminareinzugsbereiche zeigen</w:t>
            </w:r>
            <w:r w:rsidR="006B7112" w:rsidRPr="0091720F">
              <w:rPr>
                <w:sz w:val="20"/>
              </w:rPr>
              <w:t xml:space="preserve"> (Folie 6)</w:t>
            </w:r>
          </w:p>
          <w:p w:rsidR="006F708C" w:rsidRPr="0091720F" w:rsidRDefault="006F708C" w:rsidP="004C7882">
            <w:pPr>
              <w:pStyle w:val="Listenabsatz"/>
              <w:numPr>
                <w:ilvl w:val="0"/>
                <w:numId w:val="1"/>
              </w:numPr>
              <w:rPr>
                <w:sz w:val="20"/>
              </w:rPr>
            </w:pPr>
            <w:r w:rsidRPr="0091720F">
              <w:rPr>
                <w:sz w:val="20"/>
              </w:rPr>
              <w:t>Platzangebot: Zusammenhang zwischen ZfsL und Schule</w:t>
            </w:r>
            <w:r w:rsidR="006B7112" w:rsidRPr="0091720F">
              <w:rPr>
                <w:sz w:val="20"/>
              </w:rPr>
              <w:t xml:space="preserve"> (Folie 7)</w:t>
            </w:r>
          </w:p>
        </w:tc>
      </w:tr>
      <w:tr w:rsidR="006F708C" w:rsidTr="006F708C">
        <w:tc>
          <w:tcPr>
            <w:tcW w:w="1086" w:type="pct"/>
            <w:shd w:val="clear" w:color="auto" w:fill="D5DCE4" w:themeFill="text2" w:themeFillTint="33"/>
          </w:tcPr>
          <w:p w:rsidR="006F708C" w:rsidRPr="0091720F" w:rsidRDefault="006F708C" w:rsidP="008A2F70">
            <w:pPr>
              <w:rPr>
                <w:b/>
                <w:sz w:val="20"/>
              </w:rPr>
            </w:pPr>
            <w:r w:rsidRPr="0091720F">
              <w:rPr>
                <w:b/>
                <w:sz w:val="20"/>
              </w:rPr>
              <w:t>5. Algorithmus</w:t>
            </w:r>
            <w:r w:rsidRPr="0091720F">
              <w:rPr>
                <w:b/>
                <w:sz w:val="20"/>
              </w:rPr>
              <w:br/>
            </w:r>
            <w:r w:rsidRPr="0091720F">
              <w:rPr>
                <w:sz w:val="20"/>
                <w:highlight w:val="yellow"/>
              </w:rPr>
              <w:t xml:space="preserve"> JULIA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 xml:space="preserve">Wie genau Funktioniert der Algorithmus? Wählt er zuerst die Schulen aus und würfelt zwischen den Bewerbern (zum Beispiel zwischen den Studenten mit Priorisierung 1 oder würfelt er zwischen allen angewählten Teilnehmern)? Werden </w:t>
            </w:r>
            <w:proofErr w:type="spellStart"/>
            <w:r w:rsidRPr="0091720F">
              <w:rPr>
                <w:rFonts w:ascii="Calibri" w:hAnsi="Calibri" w:cs="Calibri"/>
                <w:color w:val="000000"/>
                <w:sz w:val="20"/>
              </w:rPr>
              <w:t>ausserdem</w:t>
            </w:r>
            <w:proofErr w:type="spellEnd"/>
            <w:r w:rsidRPr="0091720F">
              <w:rPr>
                <w:rFonts w:ascii="Calibri" w:hAnsi="Calibri" w:cs="Calibri"/>
                <w:color w:val="000000"/>
                <w:sz w:val="20"/>
              </w:rPr>
              <w:t xml:space="preserve"> die Studenten bevorzugt an die Schulen verteilt, die weniger Bewerber haben?</w:t>
            </w:r>
          </w:p>
        </w:tc>
        <w:tc>
          <w:tcPr>
            <w:tcW w:w="1477" w:type="pct"/>
            <w:shd w:val="clear" w:color="auto" w:fill="D5DCE4" w:themeFill="text2" w:themeFillTint="33"/>
          </w:tcPr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>Grundprinzip des Optimierers erklären</w:t>
            </w:r>
          </w:p>
        </w:tc>
      </w:tr>
      <w:tr w:rsidR="006F708C" w:rsidTr="006F708C">
        <w:tc>
          <w:tcPr>
            <w:tcW w:w="1086" w:type="pct"/>
            <w:shd w:val="clear" w:color="auto" w:fill="D5DCE4" w:themeFill="text2" w:themeFillTint="33"/>
          </w:tcPr>
          <w:p w:rsidR="006F708C" w:rsidRPr="0091720F" w:rsidRDefault="006F708C" w:rsidP="008A2F70">
            <w:pPr>
              <w:rPr>
                <w:b/>
                <w:sz w:val="20"/>
              </w:rPr>
            </w:pPr>
            <w:r w:rsidRPr="0091720F">
              <w:rPr>
                <w:b/>
                <w:sz w:val="20"/>
              </w:rPr>
              <w:t>6. Veröffentlichung des Schulplatzes</w:t>
            </w:r>
            <w:r w:rsidRPr="0091720F">
              <w:rPr>
                <w:b/>
                <w:sz w:val="20"/>
              </w:rPr>
              <w:br/>
            </w:r>
            <w:r w:rsidRPr="0091720F">
              <w:rPr>
                <w:sz w:val="20"/>
                <w:highlight w:val="yellow"/>
              </w:rPr>
              <w:t xml:space="preserve"> JULIA/</w:t>
            </w:r>
            <w:r w:rsidRPr="0091720F">
              <w:rPr>
                <w:sz w:val="20"/>
                <w:highlight w:val="cyan"/>
              </w:rPr>
              <w:t>UDO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>Wann erfahre ich an welcher Schule ich mein Praxissemester mache?</w:t>
            </w:r>
          </w:p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>Wie erfahre ich davon?</w:t>
            </w:r>
          </w:p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  <w:highlight w:val="cyan"/>
              </w:rPr>
              <w:t>Wo</w:t>
            </w:r>
            <w:r w:rsidRPr="0091720F">
              <w:rPr>
                <w:rFonts w:ascii="Calibri" w:hAnsi="Calibri" w:cs="Calibri"/>
                <w:color w:val="000000"/>
                <w:sz w:val="20"/>
              </w:rPr>
              <w:t xml:space="preserve"> muss ich mein Führungszeugnis hinschicken?</w:t>
            </w:r>
          </w:p>
        </w:tc>
        <w:tc>
          <w:tcPr>
            <w:tcW w:w="1477" w:type="pct"/>
            <w:shd w:val="clear" w:color="auto" w:fill="D5DCE4" w:themeFill="text2" w:themeFillTint="33"/>
          </w:tcPr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>Zeitplan/Schritte</w:t>
            </w:r>
            <w:r w:rsidR="0091720F" w:rsidRPr="0091720F">
              <w:rPr>
                <w:rFonts w:ascii="Calibri" w:hAnsi="Calibri" w:cs="Calibri"/>
                <w:color w:val="000000"/>
                <w:sz w:val="20"/>
              </w:rPr>
              <w:t xml:space="preserve"> (Folie 10/17)</w:t>
            </w:r>
          </w:p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>Nachrichtensystem in PVP</w:t>
            </w:r>
          </w:p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 xml:space="preserve">Beantragung des EFZ, Fristen, Bearbeitungszeiten </w:t>
            </w:r>
            <w:r w:rsidR="0091720F" w:rsidRPr="0091720F">
              <w:rPr>
                <w:rFonts w:ascii="Calibri" w:hAnsi="Calibri" w:cs="Calibri"/>
                <w:color w:val="000000"/>
                <w:sz w:val="20"/>
              </w:rPr>
              <w:t>(Folie 17)</w:t>
            </w:r>
          </w:p>
        </w:tc>
      </w:tr>
      <w:tr w:rsidR="006F708C" w:rsidTr="006F708C">
        <w:trPr>
          <w:trHeight w:val="443"/>
        </w:trPr>
        <w:tc>
          <w:tcPr>
            <w:tcW w:w="1086" w:type="pct"/>
          </w:tcPr>
          <w:p w:rsidR="006F708C" w:rsidRPr="0091720F" w:rsidRDefault="00471999" w:rsidP="008A2F7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6F708C" w:rsidRPr="0091720F">
              <w:rPr>
                <w:b/>
                <w:sz w:val="20"/>
              </w:rPr>
              <w:t>. Formalitäten/Einreichung von Unterlagen</w:t>
            </w:r>
            <w:r w:rsidR="006F708C" w:rsidRPr="0091720F">
              <w:rPr>
                <w:b/>
                <w:sz w:val="20"/>
              </w:rPr>
              <w:br/>
            </w:r>
            <w:r w:rsidR="006F708C" w:rsidRPr="0091720F">
              <w:rPr>
                <w:sz w:val="20"/>
                <w:highlight w:val="yellow"/>
              </w:rPr>
              <w:t>JULIA</w:t>
            </w:r>
          </w:p>
        </w:tc>
        <w:tc>
          <w:tcPr>
            <w:tcW w:w="2437" w:type="pct"/>
          </w:tcPr>
          <w:p w:rsidR="006F708C" w:rsidRPr="0091720F" w:rsidRDefault="006F708C" w:rsidP="008A2F70">
            <w:pPr>
              <w:pStyle w:val="Listenabsatz"/>
              <w:numPr>
                <w:ilvl w:val="0"/>
                <w:numId w:val="3"/>
              </w:numPr>
              <w:rPr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>Muss ich die Anmeldung nur online abgeben oder auch per Post schicken?</w:t>
            </w:r>
          </w:p>
          <w:p w:rsidR="006F708C" w:rsidRPr="0091720F" w:rsidRDefault="006F708C" w:rsidP="008A2F70">
            <w:pPr>
              <w:pStyle w:val="Listenabsatz"/>
              <w:numPr>
                <w:ilvl w:val="0"/>
                <w:numId w:val="3"/>
              </w:numPr>
              <w:rPr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 xml:space="preserve">Wo ist der Learnweb-Kurs des Praktikumsbüros des </w:t>
            </w:r>
            <w:proofErr w:type="spellStart"/>
            <w:r w:rsidRPr="0091720F">
              <w:rPr>
                <w:rFonts w:ascii="Calibri" w:hAnsi="Calibri" w:cs="Calibri"/>
                <w:color w:val="000000"/>
                <w:sz w:val="20"/>
              </w:rPr>
              <w:t>ZflsL</w:t>
            </w:r>
            <w:proofErr w:type="spellEnd"/>
            <w:r w:rsidRPr="0091720F">
              <w:rPr>
                <w:rFonts w:ascii="Calibri" w:hAnsi="Calibri" w:cs="Calibri"/>
                <w:color w:val="000000"/>
                <w:sz w:val="20"/>
              </w:rPr>
              <w:t>?</w:t>
            </w:r>
          </w:p>
        </w:tc>
        <w:tc>
          <w:tcPr>
            <w:tcW w:w="1477" w:type="pct"/>
          </w:tcPr>
          <w:p w:rsidR="006F708C" w:rsidRPr="0091720F" w:rsidRDefault="006F708C" w:rsidP="008A2F70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>Learnweb-Kurs zeigen</w:t>
            </w:r>
          </w:p>
          <w:p w:rsidR="006F708C" w:rsidRPr="0091720F" w:rsidRDefault="006F708C" w:rsidP="008A2F70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0"/>
              </w:rPr>
            </w:pPr>
            <w:r w:rsidRPr="0091720F">
              <w:rPr>
                <w:rFonts w:ascii="Calibri" w:hAnsi="Calibri" w:cs="Calibri"/>
                <w:color w:val="000000"/>
                <w:sz w:val="20"/>
              </w:rPr>
              <w:t>Link und Zugangsschlüssel im Chat teilen</w:t>
            </w:r>
          </w:p>
        </w:tc>
      </w:tr>
      <w:tr w:rsidR="006F708C" w:rsidTr="006F708C">
        <w:tc>
          <w:tcPr>
            <w:tcW w:w="1086" w:type="pct"/>
            <w:shd w:val="clear" w:color="auto" w:fill="D5DCE4" w:themeFill="text2" w:themeFillTint="33"/>
          </w:tcPr>
          <w:p w:rsidR="006F708C" w:rsidRPr="0091720F" w:rsidRDefault="00471999" w:rsidP="008A2F7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bookmarkStart w:id="0" w:name="_GoBack"/>
            <w:bookmarkEnd w:id="0"/>
            <w:r w:rsidR="006F708C" w:rsidRPr="0091720F">
              <w:rPr>
                <w:b/>
                <w:sz w:val="20"/>
              </w:rPr>
              <w:t>. ZfsL-Formate</w:t>
            </w:r>
            <w:r w:rsidR="006F708C" w:rsidRPr="0091720F">
              <w:rPr>
                <w:b/>
                <w:sz w:val="20"/>
              </w:rPr>
              <w:br/>
            </w:r>
            <w:r w:rsidR="006F708C" w:rsidRPr="0091720F">
              <w:rPr>
                <w:sz w:val="20"/>
                <w:highlight w:val="cyan"/>
              </w:rPr>
              <w:t xml:space="preserve"> UDO</w:t>
            </w:r>
          </w:p>
        </w:tc>
        <w:tc>
          <w:tcPr>
            <w:tcW w:w="2437" w:type="pct"/>
            <w:shd w:val="clear" w:color="auto" w:fill="D5DCE4" w:themeFill="text2" w:themeFillTint="33"/>
          </w:tcPr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sz w:val="20"/>
              </w:rPr>
            </w:pPr>
            <w:r w:rsidRPr="0091720F">
              <w:rPr>
                <w:sz w:val="20"/>
              </w:rPr>
              <w:t>Wie oft wird man im ganzen Verlauf das jeweilige ZFSL besuchen müssen? Und werden die Veranstaltungen dort im Falle, dass die Uni weiterhin digital ablaufen wird, auch digital sein?</w:t>
            </w:r>
          </w:p>
        </w:tc>
        <w:tc>
          <w:tcPr>
            <w:tcW w:w="1477" w:type="pct"/>
            <w:shd w:val="clear" w:color="auto" w:fill="D5DCE4" w:themeFill="text2" w:themeFillTint="33"/>
          </w:tcPr>
          <w:p w:rsidR="006F708C" w:rsidRPr="0091720F" w:rsidRDefault="006F708C" w:rsidP="008A2F70">
            <w:pPr>
              <w:pStyle w:val="Listenabsatz"/>
              <w:numPr>
                <w:ilvl w:val="0"/>
                <w:numId w:val="1"/>
              </w:numPr>
              <w:rPr>
                <w:sz w:val="20"/>
              </w:rPr>
            </w:pPr>
            <w:r w:rsidRPr="0091720F">
              <w:rPr>
                <w:sz w:val="20"/>
              </w:rPr>
              <w:t>Grafik: Studientagmodell</w:t>
            </w:r>
          </w:p>
        </w:tc>
      </w:tr>
    </w:tbl>
    <w:p w:rsidR="00975803" w:rsidRDefault="00975803" w:rsidP="00643FC2">
      <w:pPr>
        <w:rPr>
          <w:sz w:val="32"/>
          <w:szCs w:val="32"/>
        </w:rPr>
      </w:pPr>
    </w:p>
    <w:p w:rsidR="00E21A65" w:rsidRDefault="00E21A65" w:rsidP="00643FC2">
      <w:pPr>
        <w:rPr>
          <w:sz w:val="32"/>
          <w:szCs w:val="32"/>
        </w:rPr>
      </w:pPr>
    </w:p>
    <w:sectPr w:rsidR="00E21A65" w:rsidSect="006F708C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201" w:rsidRDefault="00072201" w:rsidP="002A6CB8">
      <w:pPr>
        <w:spacing w:after="0" w:line="240" w:lineRule="auto"/>
      </w:pPr>
      <w:r>
        <w:separator/>
      </w:r>
    </w:p>
  </w:endnote>
  <w:endnote w:type="continuationSeparator" w:id="0">
    <w:p w:rsidR="00072201" w:rsidRDefault="00072201" w:rsidP="002A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MetaOT-Normal">
    <w:altName w:val="MetaOT-Normal"/>
    <w:panose1 w:val="02000503040000020004"/>
    <w:charset w:val="00"/>
    <w:family w:val="modern"/>
    <w:notTrueType/>
    <w:pitch w:val="variable"/>
    <w:sig w:usb0="800000AF" w:usb1="4000206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CB8" w:rsidRPr="002A6CB8" w:rsidRDefault="002A6CB8" w:rsidP="002A6CB8">
    <w:pPr>
      <w:pStyle w:val="Fuzeile"/>
      <w:jc w:val="right"/>
      <w:rPr>
        <w:sz w:val="18"/>
      </w:rPr>
    </w:pPr>
    <w:r w:rsidRPr="002A6CB8">
      <w:rPr>
        <w:sz w:val="18"/>
      </w:rPr>
      <w:t>Stand: 2</w:t>
    </w:r>
    <w:r w:rsidR="00581685">
      <w:rPr>
        <w:sz w:val="18"/>
      </w:rPr>
      <w:t>6.04</w:t>
    </w:r>
    <w:r w:rsidRPr="002A6CB8">
      <w:rPr>
        <w:sz w:val="18"/>
      </w:rPr>
      <w:t>.202</w:t>
    </w:r>
    <w:r w:rsidR="00581685">
      <w:rPr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201" w:rsidRDefault="00072201" w:rsidP="002A6CB8">
      <w:pPr>
        <w:spacing w:after="0" w:line="240" w:lineRule="auto"/>
      </w:pPr>
      <w:r>
        <w:separator/>
      </w:r>
    </w:p>
  </w:footnote>
  <w:footnote w:type="continuationSeparator" w:id="0">
    <w:p w:rsidR="00072201" w:rsidRDefault="00072201" w:rsidP="002A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FC2" w:rsidRPr="00643FC2" w:rsidRDefault="00643FC2" w:rsidP="00643FC2">
    <w:pPr>
      <w:rPr>
        <w:rFonts w:cstheme="minorHAnsi"/>
        <w:b/>
        <w:sz w:val="32"/>
      </w:rPr>
    </w:pPr>
    <w:r w:rsidRPr="00643FC2">
      <w:rPr>
        <w:rFonts w:cstheme="minorHAnsi"/>
        <w:b/>
        <w:sz w:val="32"/>
      </w:rPr>
      <w:t xml:space="preserve">Fragenspeicher zur </w:t>
    </w:r>
    <w:r w:rsidR="001E6A39">
      <w:rPr>
        <w:rFonts w:cstheme="minorHAnsi"/>
        <w:b/>
        <w:sz w:val="32"/>
      </w:rPr>
      <w:t>PVP-</w:t>
    </w:r>
    <w:r w:rsidRPr="00643FC2">
      <w:rPr>
        <w:rFonts w:cstheme="minorHAnsi"/>
        <w:b/>
        <w:sz w:val="32"/>
      </w:rPr>
      <w:t xml:space="preserve">Online-Gruppensprechstunde (09/2021)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F762B"/>
    <w:multiLevelType w:val="hybridMultilevel"/>
    <w:tmpl w:val="89284F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536BA6"/>
    <w:multiLevelType w:val="hybridMultilevel"/>
    <w:tmpl w:val="39CA7F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E96B33"/>
    <w:multiLevelType w:val="hybridMultilevel"/>
    <w:tmpl w:val="B7EEB2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36"/>
    <w:rsid w:val="000101AE"/>
    <w:rsid w:val="000308E6"/>
    <w:rsid w:val="00072201"/>
    <w:rsid w:val="0008426B"/>
    <w:rsid w:val="001247A3"/>
    <w:rsid w:val="00177C76"/>
    <w:rsid w:val="001E6A39"/>
    <w:rsid w:val="00206B7C"/>
    <w:rsid w:val="00220F2D"/>
    <w:rsid w:val="00250A78"/>
    <w:rsid w:val="00283792"/>
    <w:rsid w:val="00290A77"/>
    <w:rsid w:val="002A6CB8"/>
    <w:rsid w:val="002F1A92"/>
    <w:rsid w:val="00312CA7"/>
    <w:rsid w:val="004203AD"/>
    <w:rsid w:val="00471999"/>
    <w:rsid w:val="004C7882"/>
    <w:rsid w:val="004D325C"/>
    <w:rsid w:val="004F5490"/>
    <w:rsid w:val="00581685"/>
    <w:rsid w:val="0060766C"/>
    <w:rsid w:val="00624820"/>
    <w:rsid w:val="00643FC2"/>
    <w:rsid w:val="006B7112"/>
    <w:rsid w:val="006F708C"/>
    <w:rsid w:val="0074077A"/>
    <w:rsid w:val="00784AE0"/>
    <w:rsid w:val="0079119B"/>
    <w:rsid w:val="00840B2A"/>
    <w:rsid w:val="008471B9"/>
    <w:rsid w:val="008A2F70"/>
    <w:rsid w:val="008C547E"/>
    <w:rsid w:val="008D4ADD"/>
    <w:rsid w:val="0091720F"/>
    <w:rsid w:val="00975803"/>
    <w:rsid w:val="0097715C"/>
    <w:rsid w:val="009925E1"/>
    <w:rsid w:val="009A1F5B"/>
    <w:rsid w:val="009D1119"/>
    <w:rsid w:val="00A53536"/>
    <w:rsid w:val="00B07F60"/>
    <w:rsid w:val="00B10DB3"/>
    <w:rsid w:val="00B2697F"/>
    <w:rsid w:val="00B922FC"/>
    <w:rsid w:val="00BB73FD"/>
    <w:rsid w:val="00BC3572"/>
    <w:rsid w:val="00C93867"/>
    <w:rsid w:val="00DD410F"/>
    <w:rsid w:val="00E13820"/>
    <w:rsid w:val="00E21A65"/>
    <w:rsid w:val="00E73D92"/>
    <w:rsid w:val="00ED5500"/>
    <w:rsid w:val="00F450E5"/>
    <w:rsid w:val="00F867E7"/>
    <w:rsid w:val="00FA1140"/>
    <w:rsid w:val="00FB7DF9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AB7C1"/>
  <w15:chartTrackingRefBased/>
  <w15:docId w15:val="{AAC241D4-A9F2-4745-B579-12B9C051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KeinLeerraum"/>
    <w:next w:val="KeinLeerraum"/>
    <w:link w:val="berschrift1Zchn"/>
    <w:uiPriority w:val="9"/>
    <w:qFormat/>
    <w:rsid w:val="00E21A65"/>
    <w:pPr>
      <w:keepNext/>
      <w:keepLines/>
      <w:outlineLvl w:val="0"/>
    </w:pPr>
    <w:rPr>
      <w:rFonts w:eastAsiaTheme="majorEastAsia" w:cstheme="majorBidi"/>
      <w:b/>
      <w:bCs/>
      <w:color w:val="0070C0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ascii="Meta Offc Pro" w:eastAsia="Calibri" w:hAnsi="Meta Offc Pro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table" w:styleId="Tabellenraster">
    <w:name w:val="Table Grid"/>
    <w:basedOn w:val="NormaleTabelle"/>
    <w:uiPriority w:val="39"/>
    <w:rsid w:val="002A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CB8"/>
  </w:style>
  <w:style w:type="paragraph" w:styleId="Fuzeile">
    <w:name w:val="footer"/>
    <w:basedOn w:val="Standard"/>
    <w:link w:val="Fu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6CB8"/>
  </w:style>
  <w:style w:type="paragraph" w:styleId="Listenabsatz">
    <w:name w:val="List Paragraph"/>
    <w:basedOn w:val="Standard"/>
    <w:uiPriority w:val="34"/>
    <w:qFormat/>
    <w:rsid w:val="008C547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21A65"/>
    <w:rPr>
      <w:rFonts w:eastAsiaTheme="majorEastAsia" w:cstheme="majorBidi"/>
      <w:b/>
      <w:bCs/>
      <w:color w:val="0070C0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21A65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E21A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94252-089E-4A38-B297-B9ED00BE5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11</cp:revision>
  <dcterms:created xsi:type="dcterms:W3CDTF">2021-04-26T14:37:00Z</dcterms:created>
  <dcterms:modified xsi:type="dcterms:W3CDTF">2021-04-26T15:24:00Z</dcterms:modified>
</cp:coreProperties>
</file>